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B08D6" w14:textId="7E729FF3" w:rsidR="00275AE3" w:rsidRPr="00FD426B" w:rsidRDefault="00B669A0" w:rsidP="00B669A0">
      <w:pPr>
        <w:jc w:val="center"/>
        <w:rPr>
          <w:b/>
          <w:bCs/>
          <w:lang w:val="en-GB"/>
        </w:rPr>
      </w:pPr>
      <w:r w:rsidRPr="00FD426B">
        <w:rPr>
          <w:b/>
          <w:bCs/>
          <w:lang w:val="en-GB"/>
        </w:rPr>
        <w:t>TARGETED STAKEHOLDER CONSULTATION 2021 RULE OF LAW REPORT</w:t>
      </w:r>
    </w:p>
    <w:p w14:paraId="77ADE7EE" w14:textId="34A50DA1" w:rsidR="00B669A0" w:rsidRPr="00FD426B" w:rsidRDefault="00B669A0" w:rsidP="00710999">
      <w:pPr>
        <w:jc w:val="center"/>
        <w:rPr>
          <w:b/>
          <w:bCs/>
          <w:lang w:val="en-AU"/>
        </w:rPr>
      </w:pPr>
      <w:r w:rsidRPr="00FD426B">
        <w:rPr>
          <w:b/>
          <w:bCs/>
          <w:lang w:val="en-AU"/>
        </w:rPr>
        <w:t>UN HUMAN RIGHTS REGIONAL OFFICE FOR EUROPE (OHCHR)</w:t>
      </w:r>
    </w:p>
    <w:p w14:paraId="5AED5770" w14:textId="77777777" w:rsidR="008F5F0F" w:rsidRPr="00FD426B" w:rsidRDefault="008F5F0F" w:rsidP="00815599">
      <w:pPr>
        <w:jc w:val="both"/>
        <w:rPr>
          <w:lang w:val="en-AU"/>
        </w:rPr>
      </w:pPr>
    </w:p>
    <w:p w14:paraId="465166AB" w14:textId="06833944" w:rsidR="001B7CA2" w:rsidRPr="00FD426B" w:rsidRDefault="00E96D3A" w:rsidP="00B669A0">
      <w:pPr>
        <w:pBdr>
          <w:bottom w:val="single" w:sz="4" w:space="1" w:color="auto"/>
        </w:pBdr>
        <w:rPr>
          <w:b/>
          <w:bCs/>
          <w:lang w:val="en-GB"/>
        </w:rPr>
      </w:pPr>
      <w:r w:rsidRPr="00FD426B">
        <w:rPr>
          <w:b/>
          <w:bCs/>
          <w:lang w:val="en-AU"/>
        </w:rPr>
        <w:t>SLOVAKIA</w:t>
      </w:r>
      <w:r w:rsidR="00B669A0" w:rsidRPr="00FD426B">
        <w:rPr>
          <w:b/>
          <w:bCs/>
          <w:lang w:val="en-AU"/>
        </w:rPr>
        <w:t xml:space="preserve"> REVIEW</w:t>
      </w:r>
    </w:p>
    <w:p w14:paraId="2EEF89E7" w14:textId="77777777" w:rsidR="001B7CA2" w:rsidRPr="00FD426B" w:rsidRDefault="001B7CA2" w:rsidP="001B7CA2">
      <w:pPr>
        <w:rPr>
          <w:lang w:val="en-GB"/>
        </w:rPr>
      </w:pPr>
      <w:r w:rsidRPr="00FD426B">
        <w:rPr>
          <w:b/>
          <w:bCs/>
          <w:lang w:val="en-GB"/>
        </w:rPr>
        <w:t xml:space="preserve">I. Justice System </w:t>
      </w:r>
    </w:p>
    <w:p w14:paraId="368A2681" w14:textId="77777777" w:rsidR="001B7CA2" w:rsidRPr="00FD426B" w:rsidRDefault="001B7CA2" w:rsidP="001B7CA2">
      <w:pPr>
        <w:rPr>
          <w:lang w:val="en-GB"/>
        </w:rPr>
      </w:pPr>
      <w:r w:rsidRPr="00FD426B">
        <w:rPr>
          <w:b/>
          <w:bCs/>
          <w:i/>
          <w:iCs/>
          <w:lang w:val="en-GB"/>
        </w:rPr>
        <w:t xml:space="preserve">A. Independence </w:t>
      </w:r>
    </w:p>
    <w:p w14:paraId="6CF3F68E" w14:textId="77777777" w:rsidR="001B7CA2" w:rsidRPr="00FD426B" w:rsidRDefault="001B7CA2" w:rsidP="001B7CA2">
      <w:pPr>
        <w:rPr>
          <w:lang w:val="en-GB"/>
        </w:rPr>
      </w:pPr>
      <w:r w:rsidRPr="00FD426B">
        <w:rPr>
          <w:i/>
          <w:iCs/>
          <w:lang w:val="en-GB"/>
        </w:rPr>
        <w:t xml:space="preserve">1. Appointment and selection of judges, prosecutors and court presidents </w:t>
      </w:r>
    </w:p>
    <w:p w14:paraId="6646A1AA" w14:textId="77777777" w:rsidR="001B7CA2" w:rsidRPr="00FD426B" w:rsidRDefault="001B7CA2" w:rsidP="001B7CA2">
      <w:pPr>
        <w:rPr>
          <w:lang w:val="en-GB"/>
        </w:rPr>
      </w:pPr>
      <w:r w:rsidRPr="00FD426B">
        <w:rPr>
          <w:i/>
          <w:iCs/>
          <w:lang w:val="en-GB"/>
        </w:rPr>
        <w:t xml:space="preserve">2. Irremovability of judges; including transfers, dismissal and retirement regime of judges, court presidents and prosecutors </w:t>
      </w:r>
    </w:p>
    <w:p w14:paraId="3EB4EF2B" w14:textId="77777777" w:rsidR="001B7CA2" w:rsidRPr="00FD426B" w:rsidRDefault="001B7CA2" w:rsidP="001B7CA2">
      <w:pPr>
        <w:rPr>
          <w:lang w:val="en-GB"/>
        </w:rPr>
      </w:pPr>
      <w:r w:rsidRPr="00FD426B">
        <w:rPr>
          <w:i/>
          <w:iCs/>
          <w:lang w:val="en-GB"/>
        </w:rPr>
        <w:t xml:space="preserve">3. Promotion of judges and prosecutors </w:t>
      </w:r>
    </w:p>
    <w:p w14:paraId="3E481A7D" w14:textId="77777777" w:rsidR="001B7CA2" w:rsidRPr="00FD426B" w:rsidRDefault="001B7CA2" w:rsidP="001B7CA2">
      <w:pPr>
        <w:rPr>
          <w:lang w:val="en-GB"/>
        </w:rPr>
      </w:pPr>
      <w:r w:rsidRPr="00FD426B">
        <w:rPr>
          <w:i/>
          <w:iCs/>
          <w:lang w:val="en-GB"/>
        </w:rPr>
        <w:t xml:space="preserve">4. Allocation of cases in courts </w:t>
      </w:r>
    </w:p>
    <w:p w14:paraId="6F2D0D64" w14:textId="77777777" w:rsidR="001B7CA2" w:rsidRPr="00FD426B" w:rsidRDefault="001B7CA2" w:rsidP="001B7CA2">
      <w:pPr>
        <w:rPr>
          <w:lang w:val="en-GB"/>
        </w:rPr>
      </w:pPr>
      <w:r w:rsidRPr="00FD426B">
        <w:rPr>
          <w:i/>
          <w:iCs/>
          <w:lang w:val="en-GB"/>
        </w:rPr>
        <w:t xml:space="preserve">5. Independence (including composition and nomination of its members), and powers of the body tasked with safeguarding the independence of the judiciary (e.g. Council for the Judiciary) </w:t>
      </w:r>
    </w:p>
    <w:p w14:paraId="2E67A952" w14:textId="50D3FA3E" w:rsidR="001B7CA2" w:rsidRDefault="001B7CA2" w:rsidP="001B7CA2">
      <w:pPr>
        <w:rPr>
          <w:i/>
          <w:iCs/>
          <w:lang w:val="en-GB"/>
        </w:rPr>
      </w:pPr>
      <w:r w:rsidRPr="00FD426B">
        <w:rPr>
          <w:i/>
          <w:iCs/>
          <w:lang w:val="en-GB"/>
        </w:rPr>
        <w:t xml:space="preserve">6. Accountability of judges and prosecutors, including disciplinary regime and bodies and ethical rules, judicial immunity and criminal liability of judges. </w:t>
      </w:r>
    </w:p>
    <w:p w14:paraId="6F340D4A" w14:textId="12A407B5" w:rsidR="00B878C7" w:rsidRDefault="00B878C7" w:rsidP="001B7CA2">
      <w:pPr>
        <w:rPr>
          <w:i/>
          <w:iCs/>
          <w:lang w:val="en-GB"/>
        </w:rPr>
      </w:pPr>
    </w:p>
    <w:p w14:paraId="68FFAD66" w14:textId="3317FBC3" w:rsidR="00B878C7" w:rsidRPr="00AA29BC" w:rsidRDefault="00AA29BC" w:rsidP="00B92AC2">
      <w:pPr>
        <w:jc w:val="both"/>
        <w:rPr>
          <w:lang w:val="en-US"/>
        </w:rPr>
      </w:pPr>
      <w:r>
        <w:rPr>
          <w:lang w:val="en-GB"/>
        </w:rPr>
        <w:t>At its 2019 Universal Periodic Review, Slovakia</w:t>
      </w:r>
      <w:r w:rsidR="00B878C7" w:rsidRPr="00FD426B">
        <w:rPr>
          <w:lang w:val="en-GB"/>
        </w:rPr>
        <w:t xml:space="preserve"> supported </w:t>
      </w:r>
      <w:r w:rsidR="0000519B">
        <w:rPr>
          <w:lang w:val="en-GB"/>
        </w:rPr>
        <w:t>one</w:t>
      </w:r>
      <w:r w:rsidR="00B878C7" w:rsidRPr="00FD426B">
        <w:rPr>
          <w:lang w:val="en-GB"/>
        </w:rPr>
        <w:t xml:space="preserve"> </w:t>
      </w:r>
      <w:r>
        <w:rPr>
          <w:lang w:val="en-GB"/>
        </w:rPr>
        <w:t>relevant</w:t>
      </w:r>
      <w:r w:rsidR="00B878C7" w:rsidRPr="00FD426B">
        <w:rPr>
          <w:lang w:val="en-GB"/>
        </w:rPr>
        <w:t xml:space="preserve"> recommendation</w:t>
      </w:r>
      <w:r w:rsidR="00DE00F5">
        <w:rPr>
          <w:lang w:val="en-GB"/>
        </w:rPr>
        <w:t>, namely</w:t>
      </w:r>
      <w:r w:rsidR="00B878C7">
        <w:rPr>
          <w:lang w:val="en-GB"/>
        </w:rPr>
        <w:t xml:space="preserve"> </w:t>
      </w:r>
      <w:r>
        <w:rPr>
          <w:lang w:val="en-GB"/>
        </w:rPr>
        <w:t xml:space="preserve">to </w:t>
      </w:r>
      <w:r>
        <w:rPr>
          <w:lang w:val="en-US"/>
        </w:rPr>
        <w:t>“i</w:t>
      </w:r>
      <w:r w:rsidR="00B878C7" w:rsidRPr="00AA29BC">
        <w:rPr>
          <w:lang w:val="en-US"/>
        </w:rPr>
        <w:t>mplement and rigorously enforce ethical standards and reforms to the judicial selection and appointment process in order to safeguard the justice system and judicial accountability</w:t>
      </w:r>
      <w:r>
        <w:rPr>
          <w:lang w:val="en-US"/>
        </w:rPr>
        <w:t>.”</w:t>
      </w:r>
      <w:r w:rsidR="005130D0">
        <w:rPr>
          <w:lang w:val="en-US"/>
        </w:rPr>
        <w:t xml:space="preserve"> (</w:t>
      </w:r>
      <w:hyperlink r:id="rId8" w:history="1">
        <w:r w:rsidR="0000519B" w:rsidRPr="00AA29BC">
          <w:rPr>
            <w:rStyle w:val="Hyperlink"/>
            <w:lang w:val="en-US"/>
          </w:rPr>
          <w:t>A/HRC/41/13</w:t>
        </w:r>
      </w:hyperlink>
      <w:r w:rsidR="0000519B" w:rsidRPr="00AA29BC">
        <w:rPr>
          <w:lang w:val="en-US"/>
        </w:rPr>
        <w:t>/Add.1, para 3</w:t>
      </w:r>
      <w:r>
        <w:rPr>
          <w:lang w:val="en-US"/>
        </w:rPr>
        <w:t>, recommendation 121.93</w:t>
      </w:r>
      <w:r w:rsidR="0000519B" w:rsidRPr="00AA29BC">
        <w:rPr>
          <w:lang w:val="en-US"/>
        </w:rPr>
        <w:t>).</w:t>
      </w:r>
    </w:p>
    <w:p w14:paraId="13297D90" w14:textId="77777777" w:rsidR="00B878C7" w:rsidRPr="00FD426B" w:rsidRDefault="00B878C7" w:rsidP="001B7CA2">
      <w:pPr>
        <w:rPr>
          <w:lang w:val="en-GB"/>
        </w:rPr>
      </w:pPr>
    </w:p>
    <w:p w14:paraId="59D76928" w14:textId="77777777" w:rsidR="001B7CA2" w:rsidRPr="00FD426B" w:rsidRDefault="001B7CA2" w:rsidP="001B7CA2">
      <w:pPr>
        <w:rPr>
          <w:lang w:val="en-GB"/>
        </w:rPr>
      </w:pPr>
      <w:r w:rsidRPr="00FD426B">
        <w:rPr>
          <w:i/>
          <w:iCs/>
          <w:lang w:val="en-GB"/>
        </w:rPr>
        <w:t xml:space="preserve">7. Remuneration/bonuses for judges and prosecutors </w:t>
      </w:r>
    </w:p>
    <w:p w14:paraId="37EA107A" w14:textId="77777777" w:rsidR="001B7CA2" w:rsidRPr="00FD426B" w:rsidRDefault="001B7CA2" w:rsidP="001B7CA2">
      <w:pPr>
        <w:rPr>
          <w:lang w:val="en-GB"/>
        </w:rPr>
      </w:pPr>
      <w:r w:rsidRPr="00FD426B">
        <w:rPr>
          <w:i/>
          <w:iCs/>
          <w:lang w:val="en-GB"/>
        </w:rPr>
        <w:t xml:space="preserve">8. Independence/autonomy of the prosecution service </w:t>
      </w:r>
    </w:p>
    <w:p w14:paraId="2986F635" w14:textId="77777777" w:rsidR="001B7CA2" w:rsidRPr="00FD426B" w:rsidRDefault="001B7CA2" w:rsidP="001B7CA2">
      <w:pPr>
        <w:rPr>
          <w:lang w:val="en-GB"/>
        </w:rPr>
      </w:pPr>
      <w:r w:rsidRPr="00FD426B">
        <w:rPr>
          <w:i/>
          <w:iCs/>
          <w:lang w:val="en-GB"/>
        </w:rPr>
        <w:t xml:space="preserve">9. Independence of the Bar (chamber/association of lawyers) and of lawyers </w:t>
      </w:r>
    </w:p>
    <w:p w14:paraId="39A01995" w14:textId="77777777" w:rsidR="001B7CA2" w:rsidRPr="00FD426B" w:rsidRDefault="001B7CA2" w:rsidP="001B7CA2">
      <w:pPr>
        <w:rPr>
          <w:lang w:val="en-GB"/>
        </w:rPr>
      </w:pPr>
      <w:r w:rsidRPr="00FD426B">
        <w:rPr>
          <w:i/>
          <w:iCs/>
          <w:lang w:val="en-GB"/>
        </w:rPr>
        <w:t xml:space="preserve">10. Significant developments capable of affecting the perception that the general public has of the independence of the judiciary </w:t>
      </w:r>
    </w:p>
    <w:p w14:paraId="4840CD2F" w14:textId="77777777" w:rsidR="000313FF" w:rsidRPr="00FD426B" w:rsidRDefault="001B7CA2" w:rsidP="001B7CA2">
      <w:pPr>
        <w:rPr>
          <w:lang w:val="en-GB"/>
        </w:rPr>
      </w:pPr>
      <w:r w:rsidRPr="00FD426B">
        <w:rPr>
          <w:lang w:val="en-GB"/>
        </w:rPr>
        <w:t xml:space="preserve"> </w:t>
      </w:r>
    </w:p>
    <w:p w14:paraId="4E024A29" w14:textId="790C512C" w:rsidR="001B7CA2" w:rsidRPr="00FD426B" w:rsidRDefault="001B7CA2" w:rsidP="001B7CA2">
      <w:pPr>
        <w:rPr>
          <w:lang w:val="en-GB"/>
        </w:rPr>
      </w:pPr>
      <w:r w:rsidRPr="00FD426B">
        <w:rPr>
          <w:b/>
          <w:bCs/>
          <w:i/>
          <w:iCs/>
          <w:lang w:val="en-GB"/>
        </w:rPr>
        <w:t xml:space="preserve">B. Quality of justice </w:t>
      </w:r>
    </w:p>
    <w:p w14:paraId="06874145" w14:textId="588FF89C" w:rsidR="00710999" w:rsidRDefault="001B7CA2" w:rsidP="000517C6">
      <w:pPr>
        <w:rPr>
          <w:i/>
          <w:iCs/>
          <w:lang w:val="en-GB"/>
        </w:rPr>
      </w:pPr>
      <w:r w:rsidRPr="00FD426B">
        <w:rPr>
          <w:i/>
          <w:iCs/>
          <w:lang w:val="en-GB"/>
        </w:rPr>
        <w:t xml:space="preserve">11. Accessibility of courts (e.g. court fees, legal aid, language) </w:t>
      </w:r>
    </w:p>
    <w:p w14:paraId="26415150" w14:textId="0D3F6462" w:rsidR="001C60D8" w:rsidRDefault="001C60D8" w:rsidP="008C7AE0">
      <w:pPr>
        <w:jc w:val="both"/>
        <w:rPr>
          <w:lang w:val="en-US"/>
        </w:rPr>
      </w:pPr>
      <w:r>
        <w:rPr>
          <w:color w:val="000000" w:themeColor="text1"/>
          <w:lang w:val="en-US"/>
        </w:rPr>
        <w:t>I</w:t>
      </w:r>
      <w:r>
        <w:rPr>
          <w:color w:val="000000" w:themeColor="text1"/>
          <w:lang w:val="en-GB"/>
        </w:rPr>
        <w:t xml:space="preserve">n its </w:t>
      </w:r>
      <w:r w:rsidRPr="00FD426B">
        <w:rPr>
          <w:color w:val="000000" w:themeColor="text1"/>
          <w:lang w:val="en-GB"/>
        </w:rPr>
        <w:t xml:space="preserve">2019 </w:t>
      </w:r>
      <w:r>
        <w:rPr>
          <w:color w:val="000000" w:themeColor="text1"/>
          <w:lang w:val="en-GB"/>
        </w:rPr>
        <w:t>concluding observations, t</w:t>
      </w:r>
      <w:r w:rsidRPr="00FD426B">
        <w:rPr>
          <w:color w:val="000000" w:themeColor="text1"/>
          <w:lang w:val="en-GB"/>
        </w:rPr>
        <w:t xml:space="preserve">he </w:t>
      </w:r>
      <w:r>
        <w:rPr>
          <w:color w:val="000000" w:themeColor="text1"/>
          <w:lang w:val="en-GB"/>
        </w:rPr>
        <w:t xml:space="preserve">UN </w:t>
      </w:r>
      <w:r w:rsidRPr="00FD426B">
        <w:rPr>
          <w:color w:val="000000" w:themeColor="text1"/>
          <w:lang w:val="en-GB"/>
        </w:rPr>
        <w:t xml:space="preserve">Committee on Economic, Social and Cultural Rights </w:t>
      </w:r>
      <w:r w:rsidRPr="00FD426B">
        <w:rPr>
          <w:lang w:val="en-GB"/>
        </w:rPr>
        <w:t>noted</w:t>
      </w:r>
      <w:r w:rsidRPr="00AA29BC">
        <w:rPr>
          <w:lang w:val="en-US"/>
        </w:rPr>
        <w:t xml:space="preserve"> with concern information about the high incidence of violence against women, including sexual harassment, stalking and domestic violence, in </w:t>
      </w:r>
      <w:r>
        <w:rPr>
          <w:lang w:val="en-US"/>
        </w:rPr>
        <w:t>Slovakia, and recommended the country to i</w:t>
      </w:r>
      <w:r w:rsidRPr="00AA29BC">
        <w:rPr>
          <w:lang w:val="en-US"/>
        </w:rPr>
        <w:t>mprove women’s access to justice for all forms of violence against women</w:t>
      </w:r>
      <w:r w:rsidR="005130D0">
        <w:rPr>
          <w:lang w:val="en-US"/>
        </w:rPr>
        <w:t xml:space="preserve"> (</w:t>
      </w:r>
      <w:hyperlink r:id="rId9" w:history="1">
        <w:r w:rsidRPr="00FD426B">
          <w:rPr>
            <w:rStyle w:val="Hyperlink"/>
            <w:lang w:val="en-US"/>
          </w:rPr>
          <w:t>E/C.12/SVK/CO/3</w:t>
        </w:r>
      </w:hyperlink>
      <w:r>
        <w:rPr>
          <w:rStyle w:val="Hyperlink"/>
          <w:lang w:val="en-US"/>
        </w:rPr>
        <w:t>,</w:t>
      </w:r>
      <w:r w:rsidRPr="00FD426B">
        <w:rPr>
          <w:lang w:val="en-US"/>
        </w:rPr>
        <w:t xml:space="preserve"> para 28,29)</w:t>
      </w:r>
      <w:r>
        <w:rPr>
          <w:lang w:val="en-US"/>
        </w:rPr>
        <w:t xml:space="preserve">. </w:t>
      </w:r>
    </w:p>
    <w:p w14:paraId="0EF095AE" w14:textId="2D3F42B6" w:rsidR="003F4910" w:rsidRDefault="003F4910" w:rsidP="008C7AE0">
      <w:pPr>
        <w:jc w:val="both"/>
        <w:rPr>
          <w:lang w:val="en-US"/>
        </w:rPr>
      </w:pPr>
    </w:p>
    <w:p w14:paraId="6E51E438" w14:textId="495BD129" w:rsidR="003F4910" w:rsidRPr="00AA29BC" w:rsidRDefault="003F4910" w:rsidP="003F4910">
      <w:pPr>
        <w:jc w:val="both"/>
        <w:rPr>
          <w:lang w:val="en-US"/>
        </w:rPr>
      </w:pPr>
      <w:r w:rsidRPr="000804D0">
        <w:rPr>
          <w:lang w:val="en-US"/>
        </w:rPr>
        <w:t>I</w:t>
      </w:r>
      <w:r>
        <w:rPr>
          <w:lang w:val="en-GB"/>
        </w:rPr>
        <w:t>n its 2019 c</w:t>
      </w:r>
      <w:r w:rsidRPr="00C50880">
        <w:rPr>
          <w:lang w:val="en-GB"/>
        </w:rPr>
        <w:t>oncluding observations</w:t>
      </w:r>
      <w:r>
        <w:rPr>
          <w:lang w:val="en-GB"/>
        </w:rPr>
        <w:t xml:space="preserve">, </w:t>
      </w:r>
      <w:r>
        <w:rPr>
          <w:lang w:val="en-US"/>
        </w:rPr>
        <w:t>t</w:t>
      </w:r>
      <w:r w:rsidRPr="00C50880">
        <w:rPr>
          <w:lang w:val="en-GB"/>
        </w:rPr>
        <w:t xml:space="preserve">he </w:t>
      </w:r>
      <w:r>
        <w:rPr>
          <w:lang w:val="en-GB"/>
        </w:rPr>
        <w:t xml:space="preserve">UN </w:t>
      </w:r>
      <w:r w:rsidRPr="00C50880">
        <w:rPr>
          <w:lang w:val="en-GB"/>
        </w:rPr>
        <w:t xml:space="preserve">Committee </w:t>
      </w:r>
      <w:r>
        <w:rPr>
          <w:lang w:val="en-GB"/>
        </w:rPr>
        <w:t>on</w:t>
      </w:r>
      <w:r w:rsidRPr="00C50880">
        <w:rPr>
          <w:lang w:val="en-GB"/>
        </w:rPr>
        <w:t xml:space="preserve"> Enforced Disappearances was </w:t>
      </w:r>
      <w:r w:rsidRPr="000804D0">
        <w:rPr>
          <w:lang w:val="en-US"/>
        </w:rPr>
        <w:t>concerned about instances in which persons deprived of their liberty were not afforded all the fundamental legal safeguards from the outset of their deprivation of liberty, in particular access to a lawyer and to communicate the deprivation of liberty to their family or any other person of their choice</w:t>
      </w:r>
      <w:r>
        <w:rPr>
          <w:lang w:val="en-US"/>
        </w:rPr>
        <w:t xml:space="preserve">, including as per </w:t>
      </w:r>
      <w:r w:rsidRPr="000804D0">
        <w:rPr>
          <w:lang w:val="en-US"/>
        </w:rPr>
        <w:t xml:space="preserve">section 34 of the Code of Criminal Procedure. </w:t>
      </w:r>
      <w:r>
        <w:rPr>
          <w:lang w:val="en-US"/>
        </w:rPr>
        <w:t xml:space="preserve">While </w:t>
      </w:r>
      <w:r w:rsidRPr="000804D0">
        <w:rPr>
          <w:lang w:val="en-US"/>
        </w:rPr>
        <w:t>welcom</w:t>
      </w:r>
      <w:r>
        <w:rPr>
          <w:lang w:val="en-US"/>
        </w:rPr>
        <w:t>ing</w:t>
      </w:r>
      <w:r w:rsidRPr="000804D0">
        <w:rPr>
          <w:lang w:val="en-US"/>
        </w:rPr>
        <w:t xml:space="preserve"> the information provided by </w:t>
      </w:r>
      <w:r>
        <w:rPr>
          <w:lang w:val="en-US"/>
        </w:rPr>
        <w:t xml:space="preserve">Slovakia on its </w:t>
      </w:r>
      <w:r w:rsidRPr="000804D0">
        <w:rPr>
          <w:lang w:val="en-US"/>
        </w:rPr>
        <w:t>efforts to ensure that all deprivations of liberty are properly recorded</w:t>
      </w:r>
      <w:r>
        <w:rPr>
          <w:lang w:val="en-US"/>
        </w:rPr>
        <w:t>, t</w:t>
      </w:r>
      <w:r w:rsidRPr="000804D0">
        <w:rPr>
          <w:lang w:val="en-US"/>
        </w:rPr>
        <w:t xml:space="preserve">he Committee </w:t>
      </w:r>
      <w:r>
        <w:rPr>
          <w:lang w:val="en-GB"/>
        </w:rPr>
        <w:t>recommended the country to</w:t>
      </w:r>
      <w:r w:rsidRPr="000804D0">
        <w:rPr>
          <w:lang w:val="en-US"/>
        </w:rPr>
        <w:t xml:space="preserve"> adopt measures necessary to ensure in practice that all persons deprived of liberty are afforded, from the outset of their deprivation of liberty, all the fundamental legal safeguards, </w:t>
      </w:r>
      <w:r>
        <w:rPr>
          <w:lang w:val="en-US"/>
        </w:rPr>
        <w:t>notably</w:t>
      </w:r>
      <w:r w:rsidRPr="000804D0">
        <w:rPr>
          <w:lang w:val="en-US"/>
        </w:rPr>
        <w:t xml:space="preserve"> access to a lawyer. The Committee also </w:t>
      </w:r>
      <w:r w:rsidRPr="00C50880">
        <w:rPr>
          <w:lang w:val="en-GB"/>
        </w:rPr>
        <w:t xml:space="preserve">found </w:t>
      </w:r>
      <w:r w:rsidRPr="000804D0">
        <w:rPr>
          <w:lang w:val="en-US"/>
        </w:rPr>
        <w:t>that the State party</w:t>
      </w:r>
      <w:r w:rsidRPr="00C50880">
        <w:rPr>
          <w:lang w:val="en-GB"/>
        </w:rPr>
        <w:t xml:space="preserve"> should</w:t>
      </w:r>
      <w:r w:rsidRPr="000804D0">
        <w:rPr>
          <w:lang w:val="en-US"/>
        </w:rPr>
        <w:t xml:space="preserve"> review section 34 of its Code of Criminal Procedure to ensure that it is fully</w:t>
      </w:r>
      <w:r w:rsidR="005130D0">
        <w:rPr>
          <w:lang w:val="en-US"/>
        </w:rPr>
        <w:t xml:space="preserve"> compliant with the Convention (</w:t>
      </w:r>
      <w:hyperlink r:id="rId10" w:history="1">
        <w:r w:rsidRPr="00AA29BC">
          <w:rPr>
            <w:rStyle w:val="Hyperlink"/>
            <w:lang w:val="en-US"/>
          </w:rPr>
          <w:t>CED/C/SVK/CO/1</w:t>
        </w:r>
      </w:hyperlink>
      <w:r w:rsidRPr="00AA29BC">
        <w:rPr>
          <w:u w:val="single"/>
          <w:lang w:val="en-US"/>
        </w:rPr>
        <w:t>,</w:t>
      </w:r>
      <w:r w:rsidRPr="00C50880">
        <w:rPr>
          <w:lang w:val="en-GB"/>
        </w:rPr>
        <w:t xml:space="preserve"> para 16,17)</w:t>
      </w:r>
      <w:r w:rsidR="005130D0">
        <w:rPr>
          <w:lang w:val="en-GB"/>
        </w:rPr>
        <w:t>.</w:t>
      </w:r>
    </w:p>
    <w:p w14:paraId="6EEF1130" w14:textId="77777777" w:rsidR="003F4910" w:rsidRPr="00FD426B" w:rsidRDefault="003F4910" w:rsidP="008C7AE0">
      <w:pPr>
        <w:jc w:val="both"/>
        <w:rPr>
          <w:i/>
          <w:iCs/>
          <w:lang w:val="en-GB"/>
        </w:rPr>
      </w:pPr>
    </w:p>
    <w:p w14:paraId="70E722A7" w14:textId="77777777" w:rsidR="001C60D8" w:rsidRDefault="001C60D8" w:rsidP="001B7CA2">
      <w:pPr>
        <w:rPr>
          <w:i/>
          <w:iCs/>
          <w:lang w:val="en-GB"/>
        </w:rPr>
      </w:pPr>
    </w:p>
    <w:p w14:paraId="165B6884" w14:textId="04DEC2E3" w:rsidR="00A42049" w:rsidRPr="00FD426B" w:rsidRDefault="001B7CA2" w:rsidP="001B7CA2">
      <w:pPr>
        <w:rPr>
          <w:i/>
          <w:iCs/>
          <w:lang w:val="en-GB"/>
        </w:rPr>
      </w:pPr>
      <w:r w:rsidRPr="00FD426B">
        <w:rPr>
          <w:i/>
          <w:iCs/>
          <w:lang w:val="en-GB"/>
        </w:rPr>
        <w:lastRenderedPageBreak/>
        <w:t xml:space="preserve">12. Resources of the judiciary (human/financial/material) </w:t>
      </w:r>
    </w:p>
    <w:p w14:paraId="7A31C1B1" w14:textId="035058E0" w:rsidR="00713E1E" w:rsidRPr="00FD426B" w:rsidRDefault="001B7CA2" w:rsidP="001B7CA2">
      <w:pPr>
        <w:rPr>
          <w:i/>
          <w:iCs/>
          <w:lang w:val="en-GB"/>
        </w:rPr>
      </w:pPr>
      <w:r w:rsidRPr="00FD426B">
        <w:rPr>
          <w:i/>
          <w:iCs/>
          <w:lang w:val="en-GB"/>
        </w:rPr>
        <w:t xml:space="preserve">13. Training of justice professionals (including judges, prosecutors, lawyers, court staff) </w:t>
      </w:r>
    </w:p>
    <w:p w14:paraId="6D82EAC9" w14:textId="77777777" w:rsidR="00505636" w:rsidRPr="00FD426B" w:rsidRDefault="00505636" w:rsidP="008E379B">
      <w:pPr>
        <w:rPr>
          <w:lang w:val="en-GB"/>
        </w:rPr>
      </w:pPr>
    </w:p>
    <w:p w14:paraId="1710CE76" w14:textId="21B7D557" w:rsidR="00505636" w:rsidRPr="008C7AE0" w:rsidRDefault="00505636" w:rsidP="000722FF">
      <w:pPr>
        <w:jc w:val="both"/>
        <w:rPr>
          <w:lang w:val="en-US"/>
        </w:rPr>
      </w:pPr>
      <w:r w:rsidRPr="00FD426B">
        <w:rPr>
          <w:lang w:val="en-GB"/>
        </w:rPr>
        <w:t xml:space="preserve">In </w:t>
      </w:r>
      <w:r w:rsidR="002A3318">
        <w:rPr>
          <w:lang w:val="en-GB"/>
        </w:rPr>
        <w:t xml:space="preserve">its 2019 </w:t>
      </w:r>
      <w:r w:rsidR="005C6F10">
        <w:rPr>
          <w:lang w:val="en-GB"/>
        </w:rPr>
        <w:t>c</w:t>
      </w:r>
      <w:r w:rsidR="002A3318" w:rsidRPr="00FD426B">
        <w:rPr>
          <w:lang w:val="en-GB"/>
        </w:rPr>
        <w:t>oncluding observations</w:t>
      </w:r>
      <w:r w:rsidR="005C6F10">
        <w:rPr>
          <w:lang w:val="en-GB"/>
        </w:rPr>
        <w:t xml:space="preserve">, </w:t>
      </w:r>
      <w:r w:rsidR="002A3318">
        <w:rPr>
          <w:lang w:val="en-GB"/>
        </w:rPr>
        <w:t xml:space="preserve">the </w:t>
      </w:r>
      <w:r w:rsidR="005C6F10">
        <w:rPr>
          <w:lang w:val="en-GB"/>
        </w:rPr>
        <w:t xml:space="preserve">UN </w:t>
      </w:r>
      <w:r w:rsidRPr="00FD426B">
        <w:rPr>
          <w:lang w:val="en-GB"/>
        </w:rPr>
        <w:t xml:space="preserve">Committee </w:t>
      </w:r>
      <w:r w:rsidR="005C6F10">
        <w:rPr>
          <w:lang w:val="en-GB"/>
        </w:rPr>
        <w:t>on</w:t>
      </w:r>
      <w:r w:rsidR="005C6F10" w:rsidRPr="00FD426B">
        <w:rPr>
          <w:lang w:val="en-GB"/>
        </w:rPr>
        <w:t xml:space="preserve"> </w:t>
      </w:r>
      <w:r w:rsidRPr="00FD426B">
        <w:rPr>
          <w:lang w:val="en-GB"/>
        </w:rPr>
        <w:t>Enforced Disappearances noted</w:t>
      </w:r>
      <w:r w:rsidR="000722FF" w:rsidRPr="00FD426B">
        <w:rPr>
          <w:lang w:val="en-GB"/>
        </w:rPr>
        <w:t xml:space="preserve"> </w:t>
      </w:r>
      <w:r w:rsidRPr="00AA29BC">
        <w:rPr>
          <w:lang w:val="en-US"/>
        </w:rPr>
        <w:t xml:space="preserve">that </w:t>
      </w:r>
      <w:r w:rsidR="005C6F10">
        <w:rPr>
          <w:lang w:val="en-US"/>
        </w:rPr>
        <w:t xml:space="preserve">Slovakia did </w:t>
      </w:r>
      <w:r w:rsidRPr="00AA29BC">
        <w:rPr>
          <w:lang w:val="en-US"/>
        </w:rPr>
        <w:t xml:space="preserve">not provide specific and regular training on the Convention </w:t>
      </w:r>
      <w:r w:rsidR="002A3318" w:rsidRPr="00AA29BC">
        <w:rPr>
          <w:lang w:val="en-US"/>
        </w:rPr>
        <w:t>for the Protection of All Persons from </w:t>
      </w:r>
      <w:r w:rsidR="002A3318" w:rsidRPr="00AA29BC">
        <w:rPr>
          <w:bCs/>
          <w:lang w:val="en-US"/>
        </w:rPr>
        <w:t>Enforced Disappearance</w:t>
      </w:r>
      <w:r w:rsidR="002A3318">
        <w:rPr>
          <w:b/>
          <w:bCs/>
          <w:lang w:val="en-US"/>
        </w:rPr>
        <w:t xml:space="preserve"> </w:t>
      </w:r>
      <w:r w:rsidRPr="00AA29BC">
        <w:rPr>
          <w:lang w:val="en-US"/>
        </w:rPr>
        <w:t>and the crime of enforced disappearance</w:t>
      </w:r>
      <w:r w:rsidR="005C6F10">
        <w:rPr>
          <w:lang w:val="en-US"/>
        </w:rPr>
        <w:t>, including due to lack of expertise</w:t>
      </w:r>
      <w:r w:rsidRPr="00AA29BC">
        <w:rPr>
          <w:lang w:val="en-US"/>
        </w:rPr>
        <w:t xml:space="preserve">. </w:t>
      </w:r>
      <w:r w:rsidR="000722FF" w:rsidRPr="00FD426B">
        <w:rPr>
          <w:lang w:val="en-GB"/>
        </w:rPr>
        <w:t>T</w:t>
      </w:r>
      <w:r w:rsidRPr="00AA29BC">
        <w:rPr>
          <w:lang w:val="en-US"/>
        </w:rPr>
        <w:t>he Committee welcome</w:t>
      </w:r>
      <w:r w:rsidRPr="00FD426B">
        <w:rPr>
          <w:lang w:val="en-GB"/>
        </w:rPr>
        <w:t>d</w:t>
      </w:r>
      <w:r w:rsidRPr="00AA29BC">
        <w:rPr>
          <w:lang w:val="en-US"/>
        </w:rPr>
        <w:t xml:space="preserve"> </w:t>
      </w:r>
      <w:r w:rsidR="005C6F10">
        <w:rPr>
          <w:lang w:val="en-US"/>
        </w:rPr>
        <w:t xml:space="preserve">Slovakia’s </w:t>
      </w:r>
      <w:r w:rsidR="005C6F10" w:rsidRPr="00AA29BC">
        <w:rPr>
          <w:lang w:val="en-US"/>
        </w:rPr>
        <w:t>express</w:t>
      </w:r>
      <w:r w:rsidR="005C6F10">
        <w:rPr>
          <w:lang w:val="en-US"/>
        </w:rPr>
        <w:t>ed</w:t>
      </w:r>
      <w:r w:rsidR="005C6F10" w:rsidRPr="00AA29BC">
        <w:rPr>
          <w:lang w:val="en-US"/>
        </w:rPr>
        <w:t xml:space="preserve"> </w:t>
      </w:r>
      <w:r w:rsidRPr="00AA29BC">
        <w:rPr>
          <w:lang w:val="en-US"/>
        </w:rPr>
        <w:t xml:space="preserve">interest in receiving </w:t>
      </w:r>
      <w:r w:rsidR="003C6A15">
        <w:rPr>
          <w:lang w:val="en-US"/>
        </w:rPr>
        <w:t xml:space="preserve">training </w:t>
      </w:r>
      <w:r w:rsidRPr="00AA29BC">
        <w:rPr>
          <w:lang w:val="en-US"/>
        </w:rPr>
        <w:t xml:space="preserve">support </w:t>
      </w:r>
      <w:r w:rsidR="005C6F10">
        <w:rPr>
          <w:lang w:val="en-US"/>
        </w:rPr>
        <w:t xml:space="preserve">and recommended Slovakia </w:t>
      </w:r>
      <w:r w:rsidR="00FD426B" w:rsidRPr="00AA29BC">
        <w:rPr>
          <w:lang w:val="en-US"/>
        </w:rPr>
        <w:t xml:space="preserve">ensure that all law enforcement and security personnel, </w:t>
      </w:r>
      <w:r w:rsidR="00FD426B" w:rsidRPr="00FD426B">
        <w:rPr>
          <w:lang w:val="en-GB"/>
        </w:rPr>
        <w:t xml:space="preserve">including </w:t>
      </w:r>
      <w:r w:rsidR="00FD426B" w:rsidRPr="008C7AE0">
        <w:rPr>
          <w:i/>
          <w:lang w:val="en-GB"/>
        </w:rPr>
        <w:t>inter alia</w:t>
      </w:r>
      <w:r w:rsidR="00FD426B" w:rsidRPr="00FD426B">
        <w:rPr>
          <w:lang w:val="en-GB"/>
        </w:rPr>
        <w:t xml:space="preserve"> </w:t>
      </w:r>
      <w:r w:rsidR="00FD426B" w:rsidRPr="00AA29BC">
        <w:rPr>
          <w:lang w:val="en-US"/>
        </w:rPr>
        <w:t>judges, prosecutors and other officials responsible for the administration of justice, receive specific and regular training on the provisions of the Convention</w:t>
      </w:r>
      <w:r w:rsidR="002A3318">
        <w:rPr>
          <w:lang w:val="en-US"/>
        </w:rPr>
        <w:t>.</w:t>
      </w:r>
      <w:r w:rsidR="00FD426B" w:rsidRPr="00AA29BC">
        <w:rPr>
          <w:lang w:val="en-US"/>
        </w:rPr>
        <w:t xml:space="preserve"> </w:t>
      </w:r>
      <w:r w:rsidR="003C6A15">
        <w:rPr>
          <w:lang w:val="en-US"/>
        </w:rPr>
        <w:t>It also</w:t>
      </w:r>
      <w:r w:rsidRPr="00AA29BC">
        <w:rPr>
          <w:lang w:val="en-US"/>
        </w:rPr>
        <w:t xml:space="preserve"> encourage</w:t>
      </w:r>
      <w:r w:rsidRPr="00FD426B">
        <w:rPr>
          <w:lang w:val="en-GB"/>
        </w:rPr>
        <w:t>d</w:t>
      </w:r>
      <w:r w:rsidRPr="00AA29BC">
        <w:rPr>
          <w:lang w:val="en-US"/>
        </w:rPr>
        <w:t xml:space="preserve"> </w:t>
      </w:r>
      <w:r w:rsidR="00FB6475">
        <w:rPr>
          <w:lang w:val="en-US"/>
        </w:rPr>
        <w:t>Slovakia</w:t>
      </w:r>
      <w:r w:rsidRPr="00AA29BC">
        <w:rPr>
          <w:lang w:val="en-US"/>
        </w:rPr>
        <w:t xml:space="preserve"> to provide training to judges on the offence of enforced disappearance, in particular to ensure its proper application</w:t>
      </w:r>
      <w:r w:rsidR="003C6A15">
        <w:rPr>
          <w:lang w:val="en-US"/>
        </w:rPr>
        <w:t xml:space="preserve"> and the appropriate consideration of </w:t>
      </w:r>
      <w:r w:rsidRPr="00AA29BC">
        <w:rPr>
          <w:lang w:val="en-US"/>
        </w:rPr>
        <w:t xml:space="preserve">section 420a (1) of the Criminal Code </w:t>
      </w:r>
      <w:r w:rsidR="005130D0">
        <w:rPr>
          <w:lang w:val="en-GB"/>
        </w:rPr>
        <w:t>(</w:t>
      </w:r>
      <w:hyperlink r:id="rId11" w:history="1">
        <w:r w:rsidRPr="008C7AE0">
          <w:rPr>
            <w:rStyle w:val="Hyperlink"/>
            <w:lang w:val="en-US"/>
          </w:rPr>
          <w:t>CED/C/SVK/CO/1</w:t>
        </w:r>
      </w:hyperlink>
      <w:r w:rsidR="002A3318">
        <w:rPr>
          <w:rStyle w:val="Hyperlink"/>
          <w:lang w:val="en-US"/>
        </w:rPr>
        <w:t>,</w:t>
      </w:r>
      <w:r w:rsidR="00FB6475">
        <w:rPr>
          <w:lang w:val="en-GB"/>
        </w:rPr>
        <w:t xml:space="preserve"> </w:t>
      </w:r>
      <w:r w:rsidRPr="00FD426B">
        <w:rPr>
          <w:lang w:val="en-GB"/>
        </w:rPr>
        <w:t>para 22,23)</w:t>
      </w:r>
      <w:r w:rsidR="005130D0">
        <w:rPr>
          <w:lang w:val="en-GB"/>
        </w:rPr>
        <w:t>.</w:t>
      </w:r>
    </w:p>
    <w:p w14:paraId="30D458AA" w14:textId="77777777" w:rsidR="00505636" w:rsidRPr="00FD426B" w:rsidRDefault="00505636" w:rsidP="008E379B">
      <w:pPr>
        <w:rPr>
          <w:lang w:val="en-GB"/>
        </w:rPr>
      </w:pPr>
    </w:p>
    <w:p w14:paraId="5D903CAE" w14:textId="3E0751C5" w:rsidR="00824AEF" w:rsidRPr="00FD426B" w:rsidRDefault="00FB6475" w:rsidP="00D81C34">
      <w:pPr>
        <w:jc w:val="both"/>
        <w:rPr>
          <w:lang w:val="en-US"/>
        </w:rPr>
      </w:pPr>
      <w:r>
        <w:rPr>
          <w:lang w:val="en-US"/>
        </w:rPr>
        <w:t>In its 2019 concluding observations, t</w:t>
      </w:r>
      <w:r w:rsidR="00FD426B" w:rsidRPr="00FD426B">
        <w:rPr>
          <w:lang w:val="en-GB"/>
        </w:rPr>
        <w:t xml:space="preserve">he </w:t>
      </w:r>
      <w:r>
        <w:rPr>
          <w:lang w:val="en-GB"/>
        </w:rPr>
        <w:t xml:space="preserve">UN </w:t>
      </w:r>
      <w:r w:rsidR="00FD426B" w:rsidRPr="00FD426B">
        <w:rPr>
          <w:lang w:val="en-GB"/>
        </w:rPr>
        <w:t xml:space="preserve">Committee on Economic, Social and Cultural Rights </w:t>
      </w:r>
      <w:r w:rsidR="003C6A15">
        <w:rPr>
          <w:lang w:val="en-GB"/>
        </w:rPr>
        <w:t>regretted that,</w:t>
      </w:r>
      <w:r w:rsidR="003C6A15" w:rsidRPr="00AA29BC">
        <w:rPr>
          <w:lang w:val="en-US"/>
        </w:rPr>
        <w:t xml:space="preserve"> although the Covenant takes precedence over domestic laws, examples of cases in which the Covenant ha</w:t>
      </w:r>
      <w:r w:rsidR="003C6A15">
        <w:rPr>
          <w:lang w:val="en-US"/>
        </w:rPr>
        <w:t>d</w:t>
      </w:r>
      <w:r w:rsidR="003C6A15" w:rsidRPr="00AA29BC">
        <w:rPr>
          <w:lang w:val="en-US"/>
        </w:rPr>
        <w:t xml:space="preserve"> been applied by domestic courts </w:t>
      </w:r>
      <w:r w:rsidR="003C6A15">
        <w:rPr>
          <w:lang w:val="en-US"/>
        </w:rPr>
        <w:t>were</w:t>
      </w:r>
      <w:r w:rsidR="003C6A15" w:rsidRPr="00AA29BC">
        <w:rPr>
          <w:lang w:val="en-US"/>
        </w:rPr>
        <w:t xml:space="preserve"> so far limited.</w:t>
      </w:r>
      <w:r w:rsidR="003C6A15" w:rsidRPr="00C50880">
        <w:rPr>
          <w:lang w:val="en-US"/>
        </w:rPr>
        <w:t xml:space="preserve"> </w:t>
      </w:r>
      <w:r w:rsidR="003C6A15" w:rsidRPr="00AA29BC">
        <w:rPr>
          <w:lang w:val="en-US"/>
        </w:rPr>
        <w:t xml:space="preserve">The Committee </w:t>
      </w:r>
      <w:r w:rsidR="008C7AE0">
        <w:rPr>
          <w:lang w:val="en-US"/>
        </w:rPr>
        <w:t xml:space="preserve">recommended </w:t>
      </w:r>
      <w:r w:rsidR="003C6A15" w:rsidRPr="00AA29BC">
        <w:rPr>
          <w:lang w:val="en-US"/>
        </w:rPr>
        <w:t xml:space="preserve">that </w:t>
      </w:r>
      <w:r w:rsidR="003C6A15">
        <w:rPr>
          <w:lang w:val="en-US"/>
        </w:rPr>
        <w:t>Slovakia</w:t>
      </w:r>
      <w:r w:rsidR="003C6A15" w:rsidRPr="00AA29BC">
        <w:rPr>
          <w:lang w:val="en-US"/>
        </w:rPr>
        <w:t xml:space="preserve"> increase judges’, lawyers’ and prosecutors’ knowledge of the Covenant in order to ensure that its provisions are taken into account in domestic court decisions</w:t>
      </w:r>
      <w:r w:rsidR="008C7AE0">
        <w:rPr>
          <w:lang w:val="en-US"/>
        </w:rPr>
        <w:t xml:space="preserve">, and more generally </w:t>
      </w:r>
      <w:r w:rsidR="003C6A15" w:rsidRPr="00AA29BC">
        <w:rPr>
          <w:lang w:val="en-US"/>
        </w:rPr>
        <w:t xml:space="preserve">to raise awareness of the Covenant and of the justiciability of economic, social and cultural rights among members of the judicial branch and the general public. </w:t>
      </w:r>
      <w:r w:rsidR="008C7AE0">
        <w:rPr>
          <w:lang w:val="en-GB"/>
        </w:rPr>
        <w:t>T</w:t>
      </w:r>
      <w:r w:rsidR="008C7AE0" w:rsidRPr="008C7AE0">
        <w:rPr>
          <w:lang w:val="en-US"/>
        </w:rPr>
        <w:t xml:space="preserve">he </w:t>
      </w:r>
      <w:r w:rsidR="00FD426B" w:rsidRPr="008C7AE0">
        <w:rPr>
          <w:lang w:val="en-US"/>
        </w:rPr>
        <w:t>Committee</w:t>
      </w:r>
      <w:r w:rsidR="008C7AE0">
        <w:rPr>
          <w:lang w:val="en-US"/>
        </w:rPr>
        <w:t xml:space="preserve"> further </w:t>
      </w:r>
      <w:r w:rsidR="00FD426B" w:rsidRPr="008C7AE0">
        <w:rPr>
          <w:lang w:val="en-US"/>
        </w:rPr>
        <w:t xml:space="preserve"> </w:t>
      </w:r>
      <w:r>
        <w:rPr>
          <w:lang w:val="en-GB"/>
        </w:rPr>
        <w:t xml:space="preserve">expressed concern at </w:t>
      </w:r>
      <w:r w:rsidRPr="008C7AE0">
        <w:rPr>
          <w:lang w:val="en-US"/>
        </w:rPr>
        <w:t>the lack of effective judicial recourse for victims, including among groups that commonly face discrimination, such as Roma, migrants and asylum seekers and persons with disabilities, and regretted the lack of legal recognition of intersectionality.</w:t>
      </w:r>
      <w:r>
        <w:rPr>
          <w:lang w:val="en-US"/>
        </w:rPr>
        <w:t xml:space="preserve"> It recommended that Slovakia </w:t>
      </w:r>
      <w:r w:rsidR="00FD426B" w:rsidRPr="00FD426B">
        <w:rPr>
          <w:lang w:val="en-GB"/>
        </w:rPr>
        <w:t>c</w:t>
      </w:r>
      <w:r w:rsidR="00FD426B" w:rsidRPr="008C7AE0">
        <w:rPr>
          <w:lang w:val="en-US"/>
        </w:rPr>
        <w:t>ontinue training of the judiciary on legal standards relating to non-discrimination and extend such training to other legal professionals and government officials</w:t>
      </w:r>
      <w:r w:rsidR="00FD426B" w:rsidRPr="00FD426B">
        <w:rPr>
          <w:lang w:val="en-GB"/>
        </w:rPr>
        <w:t xml:space="preserve">. </w:t>
      </w:r>
      <w:r w:rsidR="000517C6" w:rsidRPr="00FD426B">
        <w:rPr>
          <w:lang w:val="en-GB"/>
        </w:rPr>
        <w:t>T</w:t>
      </w:r>
      <w:r w:rsidR="00D81C34" w:rsidRPr="008C7AE0">
        <w:rPr>
          <w:lang w:val="en-US"/>
        </w:rPr>
        <w:t xml:space="preserve">he Committee </w:t>
      </w:r>
      <w:r>
        <w:rPr>
          <w:lang w:val="en-US"/>
        </w:rPr>
        <w:t>also recommended Slovakia r</w:t>
      </w:r>
      <w:r w:rsidRPr="008C7AE0">
        <w:rPr>
          <w:lang w:val="en-US"/>
        </w:rPr>
        <w:t xml:space="preserve">emove barriers to effective judicial remedy for victims of discrimination under the Anti-Discrimination Act of 2004, including by undertaking awareness-raising activities </w:t>
      </w:r>
      <w:r w:rsidR="008C7AE0">
        <w:rPr>
          <w:lang w:val="en-US"/>
        </w:rPr>
        <w:t>of discriminated groups about</w:t>
      </w:r>
      <w:r w:rsidR="008C7AE0" w:rsidRPr="008C7AE0">
        <w:rPr>
          <w:lang w:val="en-US"/>
        </w:rPr>
        <w:t xml:space="preserve"> their </w:t>
      </w:r>
      <w:r w:rsidRPr="008C7AE0">
        <w:rPr>
          <w:lang w:val="en-US"/>
        </w:rPr>
        <w:t>rights and available complaint mechanisms</w:t>
      </w:r>
      <w:r w:rsidR="005130D0">
        <w:rPr>
          <w:lang w:val="en-US"/>
        </w:rPr>
        <w:t xml:space="preserve"> (</w:t>
      </w:r>
      <w:hyperlink r:id="rId12" w:history="1">
        <w:r w:rsidR="00D81C34" w:rsidRPr="00FD426B">
          <w:rPr>
            <w:rStyle w:val="Hyperlink"/>
            <w:lang w:val="en-US"/>
          </w:rPr>
          <w:t>E/C.12/SVK/CO/3</w:t>
        </w:r>
      </w:hyperlink>
      <w:r w:rsidR="002A3318">
        <w:rPr>
          <w:rStyle w:val="Hyperlink"/>
          <w:lang w:val="en-US"/>
        </w:rPr>
        <w:t>,</w:t>
      </w:r>
      <w:r w:rsidR="00D81C34" w:rsidRPr="00FD426B">
        <w:rPr>
          <w:lang w:val="en-US"/>
        </w:rPr>
        <w:t xml:space="preserve"> paras </w:t>
      </w:r>
      <w:r w:rsidR="003C6A15">
        <w:rPr>
          <w:lang w:val="en-US"/>
        </w:rPr>
        <w:t xml:space="preserve">4, 5, </w:t>
      </w:r>
      <w:r w:rsidR="00D81C34" w:rsidRPr="00FD426B">
        <w:rPr>
          <w:lang w:val="en-US"/>
        </w:rPr>
        <w:t>12, 13)</w:t>
      </w:r>
      <w:r>
        <w:rPr>
          <w:lang w:val="en-US"/>
        </w:rPr>
        <w:t>.</w:t>
      </w:r>
      <w:r w:rsidR="003C6A15">
        <w:rPr>
          <w:lang w:val="en-US"/>
        </w:rPr>
        <w:t xml:space="preserve"> </w:t>
      </w:r>
    </w:p>
    <w:p w14:paraId="140DC192" w14:textId="6EC7C571" w:rsidR="00026E44" w:rsidRPr="00FD426B" w:rsidRDefault="00026E44" w:rsidP="00D81C34">
      <w:pPr>
        <w:jc w:val="both"/>
        <w:rPr>
          <w:lang w:val="en-US"/>
        </w:rPr>
      </w:pPr>
    </w:p>
    <w:p w14:paraId="107C7EC2" w14:textId="5B473E45" w:rsidR="00922B2C" w:rsidRPr="00FD426B" w:rsidRDefault="00FB6475" w:rsidP="00F6676D">
      <w:pPr>
        <w:jc w:val="both"/>
        <w:rPr>
          <w:lang w:val="en-GB"/>
        </w:rPr>
      </w:pPr>
      <w:r>
        <w:rPr>
          <w:lang w:val="en-US"/>
        </w:rPr>
        <w:t>I</w:t>
      </w:r>
      <w:r w:rsidRPr="00FD426B">
        <w:rPr>
          <w:lang w:val="en-US"/>
        </w:rPr>
        <w:t xml:space="preserve">n its 2018 </w:t>
      </w:r>
      <w:r>
        <w:rPr>
          <w:lang w:val="en-US"/>
        </w:rPr>
        <w:t>c</w:t>
      </w:r>
      <w:r w:rsidRPr="00FD426B">
        <w:rPr>
          <w:lang w:val="en-US"/>
        </w:rPr>
        <w:t>oncluding observations</w:t>
      </w:r>
      <w:r>
        <w:rPr>
          <w:lang w:val="en-US"/>
        </w:rPr>
        <w:t>, t</w:t>
      </w:r>
      <w:r w:rsidR="00026E44" w:rsidRPr="00FD426B">
        <w:rPr>
          <w:lang w:val="en-US"/>
        </w:rPr>
        <w:t xml:space="preserve">he </w:t>
      </w:r>
      <w:r>
        <w:rPr>
          <w:lang w:val="en-US"/>
        </w:rPr>
        <w:t xml:space="preserve">UN </w:t>
      </w:r>
      <w:r w:rsidR="00026E44" w:rsidRPr="00FD426B">
        <w:rPr>
          <w:lang w:val="en-US"/>
        </w:rPr>
        <w:t xml:space="preserve">Committee for the Elimination of Racial Discrimination </w:t>
      </w:r>
      <w:r w:rsidR="00FD426B" w:rsidRPr="00AA29BC">
        <w:rPr>
          <w:lang w:val="en-US"/>
        </w:rPr>
        <w:t>urge</w:t>
      </w:r>
      <w:r w:rsidR="00FD426B" w:rsidRPr="00FD426B">
        <w:rPr>
          <w:lang w:val="en-GB"/>
        </w:rPr>
        <w:t>d</w:t>
      </w:r>
      <w:r w:rsidR="00FD426B" w:rsidRPr="00AA29BC">
        <w:rPr>
          <w:lang w:val="en-US"/>
        </w:rPr>
        <w:t xml:space="preserve"> </w:t>
      </w:r>
      <w:r>
        <w:rPr>
          <w:lang w:val="en-US"/>
        </w:rPr>
        <w:t>Slovakia</w:t>
      </w:r>
      <w:r w:rsidR="00FD426B" w:rsidRPr="00AA29BC">
        <w:rPr>
          <w:lang w:val="en-US"/>
        </w:rPr>
        <w:t xml:space="preserve"> to</w:t>
      </w:r>
      <w:r w:rsidR="00FD426B" w:rsidRPr="00FD426B">
        <w:rPr>
          <w:lang w:val="en-GB"/>
        </w:rPr>
        <w:t xml:space="preserve"> inter alia p</w:t>
      </w:r>
      <w:r w:rsidR="00FD426B" w:rsidRPr="00AA29BC">
        <w:rPr>
          <w:lang w:val="en-US"/>
        </w:rPr>
        <w:t xml:space="preserve">rovide training, on a regular basis, to civil servants, judges, magistrates and law enforcement officers, with a view to ensuring the effective application of the Convention </w:t>
      </w:r>
      <w:r w:rsidR="002A3318">
        <w:rPr>
          <w:lang w:val="en-US"/>
        </w:rPr>
        <w:t xml:space="preserve">on </w:t>
      </w:r>
      <w:r w:rsidR="002A3318" w:rsidRPr="00AA29BC">
        <w:rPr>
          <w:lang w:val="en-US"/>
        </w:rPr>
        <w:t>the Elimination of All Forms of Racial Discrimination </w:t>
      </w:r>
      <w:r w:rsidR="00FD426B" w:rsidRPr="00AA29BC">
        <w:rPr>
          <w:lang w:val="en-US"/>
        </w:rPr>
        <w:t>and of its legislation on racial discrimination, and to ensure that, in carrying out their duties, they respect and defend all human rights while also taking steps to eliminate racially discriminatory acts or practices</w:t>
      </w:r>
      <w:r w:rsidR="005130D0">
        <w:rPr>
          <w:lang w:val="en-GB"/>
        </w:rPr>
        <w:t xml:space="preserve"> (</w:t>
      </w:r>
      <w:hyperlink r:id="rId13" w:history="1">
        <w:r w:rsidR="00026E44" w:rsidRPr="008C7AE0">
          <w:rPr>
            <w:rStyle w:val="Hyperlink"/>
            <w:lang w:val="en-US"/>
          </w:rPr>
          <w:t>CERD/C/SVK/CO/11-12</w:t>
        </w:r>
      </w:hyperlink>
      <w:r w:rsidR="002A3318">
        <w:rPr>
          <w:rStyle w:val="Hyperlink"/>
          <w:lang w:val="en-US"/>
        </w:rPr>
        <w:t>,</w:t>
      </w:r>
      <w:r w:rsidR="00026E44" w:rsidRPr="00FD426B">
        <w:rPr>
          <w:lang w:val="en-GB"/>
        </w:rPr>
        <w:t xml:space="preserve"> para 9,10)</w:t>
      </w:r>
      <w:r w:rsidR="005130D0">
        <w:rPr>
          <w:lang w:val="en-GB"/>
        </w:rPr>
        <w:t>.</w:t>
      </w:r>
    </w:p>
    <w:p w14:paraId="70F5CE04" w14:textId="77777777" w:rsidR="00713E1E" w:rsidRPr="00FD426B" w:rsidRDefault="00713E1E" w:rsidP="001B7CA2">
      <w:pPr>
        <w:rPr>
          <w:i/>
          <w:iCs/>
          <w:lang w:val="en-US"/>
        </w:rPr>
      </w:pPr>
    </w:p>
    <w:p w14:paraId="08414796" w14:textId="5CF00B24" w:rsidR="001B7CA2" w:rsidRPr="00FD426B" w:rsidRDefault="001B7CA2" w:rsidP="001B7CA2">
      <w:pPr>
        <w:rPr>
          <w:i/>
          <w:iCs/>
          <w:lang w:val="en-GB"/>
        </w:rPr>
      </w:pPr>
      <w:r w:rsidRPr="00FD426B">
        <w:rPr>
          <w:i/>
          <w:iCs/>
          <w:lang w:val="en-GB"/>
        </w:rPr>
        <w:t>14. Digitalisation (e.g. use of digital technology, particularly electronic communication tools, within the justice system and with court users, including resilience of justice systems in COVID-19 pandemic)</w:t>
      </w:r>
    </w:p>
    <w:p w14:paraId="4B63E9E8" w14:textId="65BF2B69" w:rsidR="001B7CA2" w:rsidRDefault="001B7CA2" w:rsidP="001B7CA2">
      <w:pPr>
        <w:rPr>
          <w:i/>
          <w:iCs/>
          <w:lang w:val="en-GB"/>
        </w:rPr>
      </w:pPr>
      <w:r w:rsidRPr="00FD426B">
        <w:rPr>
          <w:i/>
          <w:iCs/>
          <w:lang w:val="en-GB"/>
        </w:rPr>
        <w:t xml:space="preserve">15. Use of assessment tools and standards (e.g. ICT systems for case management, court statistics and their transparency, monitoring, evaluation, surveys among court users or legal professionals) </w:t>
      </w:r>
    </w:p>
    <w:p w14:paraId="71F14611" w14:textId="0E4263F4" w:rsidR="00DE00F5" w:rsidRDefault="00DE00F5" w:rsidP="00AA29BC">
      <w:pPr>
        <w:jc w:val="both"/>
        <w:rPr>
          <w:i/>
          <w:iCs/>
          <w:lang w:val="en-GB"/>
        </w:rPr>
      </w:pPr>
    </w:p>
    <w:p w14:paraId="240146F5" w14:textId="1A94CEAB" w:rsidR="00DE00F5" w:rsidRPr="00AA29BC" w:rsidRDefault="00FB6475" w:rsidP="00AA29BC">
      <w:pPr>
        <w:jc w:val="both"/>
        <w:rPr>
          <w:lang w:val="en-US"/>
        </w:rPr>
      </w:pPr>
      <w:r>
        <w:rPr>
          <w:lang w:val="en-GB"/>
        </w:rPr>
        <w:t>At its 2019 Universal Periodic Review, Slovakia</w:t>
      </w:r>
      <w:r w:rsidR="00DE00F5" w:rsidRPr="00FD426B">
        <w:rPr>
          <w:lang w:val="en-GB"/>
        </w:rPr>
        <w:t xml:space="preserve"> supported </w:t>
      </w:r>
      <w:r w:rsidR="00DE00F5">
        <w:rPr>
          <w:lang w:val="en-GB"/>
        </w:rPr>
        <w:t>one</w:t>
      </w:r>
      <w:r w:rsidR="00DE00F5" w:rsidRPr="00FD426B">
        <w:rPr>
          <w:lang w:val="en-GB"/>
        </w:rPr>
        <w:t xml:space="preserve"> </w:t>
      </w:r>
      <w:r>
        <w:rPr>
          <w:lang w:val="en-GB"/>
        </w:rPr>
        <w:t>relevant</w:t>
      </w:r>
      <w:r w:rsidR="00DE00F5" w:rsidRPr="00FD426B">
        <w:rPr>
          <w:lang w:val="en-GB"/>
        </w:rPr>
        <w:t xml:space="preserve"> recommendation </w:t>
      </w:r>
      <w:r w:rsidR="00DE00F5">
        <w:rPr>
          <w:lang w:val="en-GB"/>
        </w:rPr>
        <w:t xml:space="preserve">namely </w:t>
      </w:r>
      <w:r w:rsidR="00BD392D">
        <w:rPr>
          <w:lang w:val="en-GB"/>
        </w:rPr>
        <w:t>to “</w:t>
      </w:r>
      <w:r w:rsidR="00BD392D">
        <w:rPr>
          <w:lang w:val="en-US"/>
        </w:rPr>
        <w:t>i</w:t>
      </w:r>
      <w:r w:rsidR="00DE00F5" w:rsidRPr="00AA29BC">
        <w:rPr>
          <w:lang w:val="en-US"/>
        </w:rPr>
        <w:t>mprove the functioning of the judicial system by implementing a “Swift Justice” programme and an automated case management system to track the progress of cases so as to reduce the current backlog</w:t>
      </w:r>
      <w:r w:rsidR="00BD392D">
        <w:rPr>
          <w:lang w:val="en-US"/>
        </w:rPr>
        <w:t>.”</w:t>
      </w:r>
      <w:r w:rsidR="005130D0">
        <w:rPr>
          <w:lang w:val="en-US"/>
        </w:rPr>
        <w:t xml:space="preserve"> (</w:t>
      </w:r>
      <w:hyperlink r:id="rId14" w:history="1">
        <w:r w:rsidR="00DE00F5" w:rsidRPr="00AA29BC">
          <w:rPr>
            <w:rStyle w:val="Hyperlink"/>
            <w:lang w:val="en-US"/>
          </w:rPr>
          <w:t>A/HRC/41/13</w:t>
        </w:r>
      </w:hyperlink>
      <w:r w:rsidR="00DE00F5" w:rsidRPr="00AA29BC">
        <w:rPr>
          <w:lang w:val="en-US"/>
        </w:rPr>
        <w:t>/Add.1, para 3</w:t>
      </w:r>
      <w:r w:rsidR="00BD392D">
        <w:rPr>
          <w:lang w:val="en-US"/>
        </w:rPr>
        <w:t>, recommendation 121.92</w:t>
      </w:r>
      <w:r w:rsidR="00DE00F5" w:rsidRPr="00AA29BC">
        <w:rPr>
          <w:lang w:val="en-US"/>
        </w:rPr>
        <w:t>).</w:t>
      </w:r>
    </w:p>
    <w:p w14:paraId="572833CB" w14:textId="77777777" w:rsidR="00DE00F5" w:rsidRPr="00FD426B" w:rsidRDefault="00DE00F5" w:rsidP="001B7CA2">
      <w:pPr>
        <w:rPr>
          <w:lang w:val="en-GB"/>
        </w:rPr>
      </w:pPr>
    </w:p>
    <w:p w14:paraId="53114DC2" w14:textId="115CA588" w:rsidR="001B7CA2" w:rsidRPr="00FD426B" w:rsidRDefault="001B7CA2" w:rsidP="001B7CA2">
      <w:pPr>
        <w:rPr>
          <w:i/>
          <w:iCs/>
          <w:lang w:val="en-GB"/>
        </w:rPr>
      </w:pPr>
      <w:r w:rsidRPr="00FD426B">
        <w:rPr>
          <w:i/>
          <w:iCs/>
          <w:lang w:val="en-GB"/>
        </w:rPr>
        <w:t xml:space="preserve">16. Geographical distribution and number of courts/jurisdictions (“judicial map”) and their specialisation </w:t>
      </w:r>
    </w:p>
    <w:p w14:paraId="2A47079B" w14:textId="77777777" w:rsidR="00C84205" w:rsidRPr="00FD426B" w:rsidRDefault="00C84205" w:rsidP="001B7CA2">
      <w:pPr>
        <w:rPr>
          <w:lang w:val="en-GB"/>
        </w:rPr>
      </w:pPr>
    </w:p>
    <w:p w14:paraId="5CD1D694" w14:textId="77777777" w:rsidR="001B7CA2" w:rsidRPr="00FD426B" w:rsidRDefault="001B7CA2" w:rsidP="001B7CA2">
      <w:pPr>
        <w:rPr>
          <w:lang w:val="en-GB"/>
        </w:rPr>
      </w:pPr>
      <w:r w:rsidRPr="00FD426B">
        <w:rPr>
          <w:b/>
          <w:bCs/>
          <w:i/>
          <w:iCs/>
          <w:lang w:val="en-GB"/>
        </w:rPr>
        <w:t xml:space="preserve">C. Efficiency of the justice system </w:t>
      </w:r>
    </w:p>
    <w:p w14:paraId="22318488" w14:textId="5591EA17" w:rsidR="001B7CA2" w:rsidRPr="00FD426B" w:rsidRDefault="001B7CA2" w:rsidP="001B7CA2">
      <w:pPr>
        <w:rPr>
          <w:i/>
          <w:iCs/>
          <w:lang w:val="en-GB"/>
        </w:rPr>
      </w:pPr>
      <w:r w:rsidRPr="00FD426B">
        <w:rPr>
          <w:i/>
          <w:iCs/>
          <w:lang w:val="en-GB"/>
        </w:rPr>
        <w:t xml:space="preserve">17. Length of proceedings </w:t>
      </w:r>
    </w:p>
    <w:p w14:paraId="01CA3162" w14:textId="44D53240" w:rsidR="002A042B" w:rsidRPr="00FD426B" w:rsidRDefault="002A042B" w:rsidP="001B7CA2">
      <w:pPr>
        <w:rPr>
          <w:color w:val="000000" w:themeColor="text1"/>
          <w:lang w:val="en-GB"/>
        </w:rPr>
      </w:pPr>
    </w:p>
    <w:p w14:paraId="7794A0BE" w14:textId="7213EDC5" w:rsidR="007C4EB4" w:rsidRPr="008C7AE0" w:rsidRDefault="005966D9" w:rsidP="002A042B">
      <w:pPr>
        <w:jc w:val="both"/>
        <w:rPr>
          <w:lang w:val="en-US"/>
        </w:rPr>
      </w:pPr>
      <w:r>
        <w:rPr>
          <w:lang w:val="en-US"/>
        </w:rPr>
        <w:t>In its 2018 concluding observations, the UN</w:t>
      </w:r>
      <w:r w:rsidRPr="00FD426B">
        <w:rPr>
          <w:lang w:val="en-US"/>
        </w:rPr>
        <w:t xml:space="preserve"> </w:t>
      </w:r>
      <w:r w:rsidR="002A042B" w:rsidRPr="00FD426B">
        <w:rPr>
          <w:lang w:val="en-US"/>
        </w:rPr>
        <w:t>Committee for the Elimination of Racial Discrimination</w:t>
      </w:r>
      <w:r>
        <w:rPr>
          <w:lang w:val="en-US"/>
        </w:rPr>
        <w:t xml:space="preserve"> </w:t>
      </w:r>
      <w:r w:rsidR="002A042B" w:rsidRPr="00AA29BC">
        <w:rPr>
          <w:lang w:val="en-US"/>
        </w:rPr>
        <w:t>remain</w:t>
      </w:r>
      <w:r w:rsidR="002A042B" w:rsidRPr="00FD426B">
        <w:rPr>
          <w:lang w:val="en-GB"/>
        </w:rPr>
        <w:t>ed</w:t>
      </w:r>
      <w:r w:rsidR="002A042B" w:rsidRPr="00AA29BC">
        <w:rPr>
          <w:lang w:val="en-US"/>
        </w:rPr>
        <w:t xml:space="preserve"> concerned that court proceedings in cases of racial discrimination continue</w:t>
      </w:r>
      <w:r w:rsidR="002A042B" w:rsidRPr="00FD426B">
        <w:rPr>
          <w:lang w:val="en-GB"/>
        </w:rPr>
        <w:t>d</w:t>
      </w:r>
      <w:r w:rsidR="002A042B" w:rsidRPr="00AA29BC">
        <w:rPr>
          <w:lang w:val="en-US"/>
        </w:rPr>
        <w:t xml:space="preserve"> to be excessively lengthy, thus impacting negatively on effective access to justice for victims</w:t>
      </w:r>
      <w:r w:rsidR="002A3318">
        <w:rPr>
          <w:lang w:val="en-US"/>
        </w:rPr>
        <w:t>.</w:t>
      </w:r>
      <w:r w:rsidR="002A3318" w:rsidRPr="008C7AE0" w:rsidDel="002A3318">
        <w:rPr>
          <w:lang w:val="en-US"/>
        </w:rPr>
        <w:t xml:space="preserve"> </w:t>
      </w:r>
      <w:r w:rsidR="002A3318">
        <w:rPr>
          <w:lang w:val="en-US"/>
        </w:rPr>
        <w:t>T</w:t>
      </w:r>
      <w:r w:rsidR="00FD426B" w:rsidRPr="008C7AE0">
        <w:rPr>
          <w:lang w:val="en-US"/>
        </w:rPr>
        <w:t>he Committee urge</w:t>
      </w:r>
      <w:r w:rsidR="00FD426B" w:rsidRPr="00FD426B">
        <w:rPr>
          <w:lang w:val="en-GB"/>
        </w:rPr>
        <w:t>d</w:t>
      </w:r>
      <w:r w:rsidR="00FD426B" w:rsidRPr="008C7AE0">
        <w:rPr>
          <w:lang w:val="en-US"/>
        </w:rPr>
        <w:t xml:space="preserve"> </w:t>
      </w:r>
      <w:r>
        <w:rPr>
          <w:lang w:val="en-US"/>
        </w:rPr>
        <w:t>Slovakia</w:t>
      </w:r>
      <w:r w:rsidR="00FD426B" w:rsidRPr="008C7AE0">
        <w:rPr>
          <w:lang w:val="en-US"/>
        </w:rPr>
        <w:t xml:space="preserve"> to</w:t>
      </w:r>
      <w:r w:rsidR="00FD426B" w:rsidRPr="00FD426B">
        <w:rPr>
          <w:lang w:val="en-GB"/>
        </w:rPr>
        <w:t xml:space="preserve"> inter alia a</w:t>
      </w:r>
      <w:r w:rsidR="00FD426B" w:rsidRPr="008C7AE0">
        <w:rPr>
          <w:lang w:val="en-US"/>
        </w:rPr>
        <w:t>dopt appropriate and effective measures to address the problem of lengthy court proceedings for victims of racial discrimination and take all the steps necessary to guarantee that all victims of racial discrimination have access to effective legal remedies and compensation</w:t>
      </w:r>
      <w:r w:rsidR="005130D0">
        <w:rPr>
          <w:lang w:val="en-GB"/>
        </w:rPr>
        <w:t xml:space="preserve"> (</w:t>
      </w:r>
      <w:hyperlink r:id="rId15" w:history="1">
        <w:r w:rsidR="002A042B" w:rsidRPr="008C7AE0">
          <w:rPr>
            <w:rStyle w:val="Hyperlink"/>
            <w:lang w:val="en-US"/>
          </w:rPr>
          <w:t>CERD/C/SVK/CO/11-12</w:t>
        </w:r>
      </w:hyperlink>
      <w:r w:rsidR="002A3318">
        <w:rPr>
          <w:rStyle w:val="Hyperlink"/>
          <w:lang w:val="en-US"/>
        </w:rPr>
        <w:t>,</w:t>
      </w:r>
      <w:r w:rsidR="002A042B" w:rsidRPr="00FD426B">
        <w:rPr>
          <w:lang w:val="en-GB"/>
        </w:rPr>
        <w:t xml:space="preserve"> para 9,10)</w:t>
      </w:r>
      <w:r w:rsidR="005130D0">
        <w:rPr>
          <w:lang w:val="en-GB"/>
        </w:rPr>
        <w:t>.</w:t>
      </w:r>
    </w:p>
    <w:p w14:paraId="0FB9EA0F" w14:textId="77777777" w:rsidR="002A042B" w:rsidRPr="00FD426B" w:rsidRDefault="002A042B" w:rsidP="001B7CA2">
      <w:pPr>
        <w:rPr>
          <w:lang w:val="en-US"/>
        </w:rPr>
      </w:pPr>
    </w:p>
    <w:p w14:paraId="2BAFA166" w14:textId="69E30826" w:rsidR="008237FE" w:rsidRPr="00FD426B" w:rsidRDefault="001B7CA2" w:rsidP="008C7AE0">
      <w:pPr>
        <w:rPr>
          <w:lang w:val="en-GB" w:eastAsia="zh-CN"/>
        </w:rPr>
      </w:pPr>
      <w:r w:rsidRPr="00FD426B">
        <w:rPr>
          <w:b/>
          <w:bCs/>
          <w:i/>
          <w:iCs/>
          <w:lang w:val="en-GB"/>
        </w:rPr>
        <w:t xml:space="preserve">Other – please specify </w:t>
      </w:r>
      <w:r w:rsidR="008237FE" w:rsidRPr="00FD426B">
        <w:rPr>
          <w:lang w:val="en-US"/>
        </w:rPr>
        <w:tab/>
        <w:t xml:space="preserve"> </w:t>
      </w:r>
    </w:p>
    <w:p w14:paraId="4194A327" w14:textId="77777777" w:rsidR="006717A5" w:rsidRPr="00FD426B" w:rsidRDefault="006717A5" w:rsidP="001B7CA2">
      <w:pPr>
        <w:rPr>
          <w:b/>
          <w:bCs/>
          <w:lang w:val="en-US"/>
        </w:rPr>
      </w:pPr>
    </w:p>
    <w:p w14:paraId="79AD8ACC" w14:textId="0B6AEAAE" w:rsidR="001B7CA2" w:rsidRPr="00FD426B" w:rsidRDefault="001B7CA2" w:rsidP="001B7CA2">
      <w:pPr>
        <w:rPr>
          <w:lang w:val="en-GB"/>
        </w:rPr>
      </w:pPr>
      <w:r w:rsidRPr="00FD426B">
        <w:rPr>
          <w:b/>
          <w:bCs/>
          <w:lang w:val="en-GB"/>
        </w:rPr>
        <w:t xml:space="preserve">II. Anti-corruption framework </w:t>
      </w:r>
    </w:p>
    <w:p w14:paraId="11B2B404" w14:textId="77777777" w:rsidR="001B7CA2" w:rsidRPr="00FD426B" w:rsidRDefault="001B7CA2" w:rsidP="001B7CA2">
      <w:pPr>
        <w:rPr>
          <w:lang w:val="en-GB"/>
        </w:rPr>
      </w:pPr>
      <w:r w:rsidRPr="00FD426B">
        <w:rPr>
          <w:b/>
          <w:bCs/>
          <w:i/>
          <w:iCs/>
          <w:lang w:val="en-GB"/>
        </w:rPr>
        <w:t xml:space="preserve">A. The institutional framework capacity to fight against corruption (prevention and investigation / prosecution) </w:t>
      </w:r>
    </w:p>
    <w:p w14:paraId="0FB0B354" w14:textId="77777777" w:rsidR="001B7CA2" w:rsidRPr="00FD426B" w:rsidRDefault="001B7CA2" w:rsidP="001B7CA2">
      <w:pPr>
        <w:rPr>
          <w:lang w:val="en-GB"/>
        </w:rPr>
      </w:pPr>
      <w:r w:rsidRPr="00FD426B">
        <w:rPr>
          <w:i/>
          <w:iCs/>
          <w:lang w:val="en-GB"/>
        </w:rPr>
        <w:t xml:space="preserve">18. List of relevant authorities (e.g. national agencies, bodies) in charge of prevention detection, investigation and prosecution of corruption. Please indicate the resources allocated to these (the human, financial, legal, and practical resources as relevant), e.g. in table format. </w:t>
      </w:r>
    </w:p>
    <w:p w14:paraId="08DC67FF" w14:textId="77777777" w:rsidR="001B7CA2" w:rsidRPr="00FD426B" w:rsidRDefault="001B7CA2" w:rsidP="001B7CA2">
      <w:pPr>
        <w:rPr>
          <w:lang w:val="en-GB"/>
        </w:rPr>
      </w:pPr>
      <w:r w:rsidRPr="00FD426B">
        <w:rPr>
          <w:b/>
          <w:bCs/>
          <w:i/>
          <w:iCs/>
          <w:lang w:val="en-GB"/>
        </w:rPr>
        <w:t xml:space="preserve">B. Prevention </w:t>
      </w:r>
    </w:p>
    <w:p w14:paraId="0A8E6A3F" w14:textId="77777777" w:rsidR="001B7CA2" w:rsidRPr="00FD426B" w:rsidRDefault="001B7CA2" w:rsidP="001B7CA2">
      <w:pPr>
        <w:rPr>
          <w:lang w:val="en-GB"/>
        </w:rPr>
      </w:pPr>
      <w:r w:rsidRPr="00FD426B">
        <w:rPr>
          <w:i/>
          <w:iCs/>
          <w:lang w:val="en-GB"/>
        </w:rPr>
        <w:t xml:space="preserve">19. Integrity framework including incompatibility rules (e.g.: revolving doors) </w:t>
      </w:r>
    </w:p>
    <w:p w14:paraId="148EA6BD" w14:textId="77777777" w:rsidR="001B7CA2" w:rsidRPr="00FD426B" w:rsidRDefault="001B7CA2" w:rsidP="001B7CA2">
      <w:pPr>
        <w:rPr>
          <w:lang w:val="en-GB"/>
        </w:rPr>
      </w:pPr>
      <w:r w:rsidRPr="00FD426B">
        <w:rPr>
          <w:i/>
          <w:iCs/>
          <w:lang w:val="en-GB"/>
        </w:rPr>
        <w:t xml:space="preserve">20. General transparency of public decision-making (including public access to information such as lobbying, asset disclosure rules and transparency of political party financing) </w:t>
      </w:r>
    </w:p>
    <w:p w14:paraId="3F9F6ED0" w14:textId="77777777" w:rsidR="001B7CA2" w:rsidRPr="00FD426B" w:rsidRDefault="001B7CA2" w:rsidP="001B7CA2">
      <w:pPr>
        <w:rPr>
          <w:lang w:val="en-GB"/>
        </w:rPr>
      </w:pPr>
      <w:r w:rsidRPr="00FD426B">
        <w:rPr>
          <w:i/>
          <w:iCs/>
          <w:lang w:val="en-GB"/>
        </w:rPr>
        <w:t xml:space="preserve">21. Rules on preventing conflict of interests in the public sector </w:t>
      </w:r>
    </w:p>
    <w:p w14:paraId="77C68733" w14:textId="7B0FE35E" w:rsidR="00B27F96" w:rsidRPr="00FD426B" w:rsidRDefault="001B7CA2" w:rsidP="001B7CA2">
      <w:pPr>
        <w:rPr>
          <w:i/>
          <w:iCs/>
          <w:lang w:val="en-GB"/>
        </w:rPr>
      </w:pPr>
      <w:r w:rsidRPr="00FD426B">
        <w:rPr>
          <w:i/>
          <w:iCs/>
          <w:lang w:val="en-GB"/>
        </w:rPr>
        <w:t xml:space="preserve">22. Measures in place to ensure whistleblower protection and encourage reporting of corruption </w:t>
      </w:r>
    </w:p>
    <w:p w14:paraId="228E977E" w14:textId="3CC68255" w:rsidR="00B27F96" w:rsidRPr="00016229" w:rsidRDefault="006069D7" w:rsidP="00016229">
      <w:pPr>
        <w:pStyle w:val="H23G"/>
        <w:tabs>
          <w:tab w:val="clear" w:pos="851"/>
          <w:tab w:val="left" w:pos="7938"/>
        </w:tabs>
        <w:spacing w:line="240" w:lineRule="auto"/>
        <w:ind w:left="0" w:right="0" w:firstLine="0"/>
        <w:jc w:val="both"/>
        <w:rPr>
          <w:b w:val="0"/>
          <w:sz w:val="24"/>
        </w:rPr>
      </w:pPr>
      <w:r w:rsidRPr="00016229">
        <w:rPr>
          <w:b w:val="0"/>
          <w:color w:val="000000" w:themeColor="text1"/>
          <w:sz w:val="24"/>
        </w:rPr>
        <w:t>In its 2019 concluding observations</w:t>
      </w:r>
      <w:r w:rsidRPr="00016229">
        <w:rPr>
          <w:b w:val="0"/>
          <w:sz w:val="24"/>
        </w:rPr>
        <w:t>, t</w:t>
      </w:r>
      <w:r w:rsidR="00621D7E" w:rsidRPr="00016229">
        <w:rPr>
          <w:b w:val="0"/>
          <w:color w:val="000000" w:themeColor="text1"/>
          <w:sz w:val="24"/>
        </w:rPr>
        <w:t xml:space="preserve">he </w:t>
      </w:r>
      <w:r w:rsidRPr="00016229">
        <w:rPr>
          <w:b w:val="0"/>
          <w:color w:val="000000" w:themeColor="text1"/>
          <w:sz w:val="24"/>
        </w:rPr>
        <w:t xml:space="preserve">UN </w:t>
      </w:r>
      <w:r w:rsidR="00621D7E" w:rsidRPr="00016229">
        <w:rPr>
          <w:b w:val="0"/>
          <w:color w:val="000000" w:themeColor="text1"/>
          <w:sz w:val="24"/>
        </w:rPr>
        <w:t xml:space="preserve">Committee on Economic, Social and Cultural Rights </w:t>
      </w:r>
      <w:r w:rsidR="00621D7E" w:rsidRPr="00016229">
        <w:rPr>
          <w:b w:val="0"/>
          <w:sz w:val="24"/>
        </w:rPr>
        <w:t>noted</w:t>
      </w:r>
      <w:r w:rsidR="00B27F96" w:rsidRPr="00016229">
        <w:rPr>
          <w:b w:val="0"/>
          <w:sz w:val="24"/>
          <w:lang w:val="en-US"/>
        </w:rPr>
        <w:t xml:space="preserve"> </w:t>
      </w:r>
      <w:r w:rsidRPr="00016229">
        <w:rPr>
          <w:b w:val="0"/>
          <w:sz w:val="24"/>
          <w:lang w:val="en-US"/>
        </w:rPr>
        <w:t>Slovakia’s</w:t>
      </w:r>
      <w:r w:rsidR="00B27F96" w:rsidRPr="00016229">
        <w:rPr>
          <w:b w:val="0"/>
          <w:sz w:val="24"/>
          <w:lang w:val="en-US"/>
        </w:rPr>
        <w:t xml:space="preserve"> efforts to tackle corruption, including the adoption of Act No. 315/2016 Coll. on the Register of Public Sector Partners, the protection of whistle-blowers and the conviction of some high-ranking officers</w:t>
      </w:r>
      <w:r w:rsidR="00621D7E" w:rsidRPr="00016229">
        <w:rPr>
          <w:b w:val="0"/>
          <w:sz w:val="24"/>
        </w:rPr>
        <w:t>. However,</w:t>
      </w:r>
      <w:r w:rsidR="00B27F96" w:rsidRPr="00016229">
        <w:rPr>
          <w:b w:val="0"/>
          <w:sz w:val="24"/>
          <w:lang w:val="en-US"/>
        </w:rPr>
        <w:t xml:space="preserve"> the Committee remain</w:t>
      </w:r>
      <w:r w:rsidR="00621D7E" w:rsidRPr="00016229">
        <w:rPr>
          <w:b w:val="0"/>
          <w:sz w:val="24"/>
        </w:rPr>
        <w:t>ed</w:t>
      </w:r>
      <w:r w:rsidR="00B27F96" w:rsidRPr="00016229">
        <w:rPr>
          <w:b w:val="0"/>
          <w:sz w:val="24"/>
          <w:lang w:val="en-US"/>
        </w:rPr>
        <w:t xml:space="preserve"> concerned by the continued levels of corruption in </w:t>
      </w:r>
      <w:r w:rsidRPr="00016229">
        <w:rPr>
          <w:b w:val="0"/>
          <w:sz w:val="24"/>
          <w:lang w:val="en-US"/>
        </w:rPr>
        <w:t>Slovakia</w:t>
      </w:r>
      <w:r w:rsidR="00B27F96" w:rsidRPr="00016229">
        <w:rPr>
          <w:b w:val="0"/>
          <w:sz w:val="24"/>
          <w:lang w:val="en-US"/>
        </w:rPr>
        <w:t xml:space="preserve"> and regre</w:t>
      </w:r>
      <w:r w:rsidRPr="00016229">
        <w:rPr>
          <w:b w:val="0"/>
          <w:sz w:val="24"/>
          <w:lang w:val="en-US"/>
        </w:rPr>
        <w:t>t</w:t>
      </w:r>
      <w:r w:rsidR="00B27F96" w:rsidRPr="00016229">
        <w:rPr>
          <w:b w:val="0"/>
          <w:sz w:val="24"/>
          <w:lang w:val="en-US"/>
        </w:rPr>
        <w:t>t</w:t>
      </w:r>
      <w:r w:rsidR="00621D7E" w:rsidRPr="00016229">
        <w:rPr>
          <w:b w:val="0"/>
          <w:sz w:val="24"/>
        </w:rPr>
        <w:t>ed</w:t>
      </w:r>
      <w:r w:rsidR="00B27F96" w:rsidRPr="00016229">
        <w:rPr>
          <w:b w:val="0"/>
          <w:sz w:val="24"/>
          <w:lang w:val="en-US"/>
        </w:rPr>
        <w:t xml:space="preserve"> that information on investigations, prosecutions and convictions reflecting the cross-cutting impact of corruption on human rights </w:t>
      </w:r>
      <w:r w:rsidR="00621D7E" w:rsidRPr="00016229">
        <w:rPr>
          <w:b w:val="0"/>
          <w:sz w:val="24"/>
        </w:rPr>
        <w:t>was</w:t>
      </w:r>
      <w:r w:rsidR="00B27F96" w:rsidRPr="00016229">
        <w:rPr>
          <w:b w:val="0"/>
          <w:sz w:val="24"/>
          <w:lang w:val="en-US"/>
        </w:rPr>
        <w:t xml:space="preserve"> so far limited. The Committee </w:t>
      </w:r>
      <w:r w:rsidRPr="00016229">
        <w:rPr>
          <w:b w:val="0"/>
          <w:sz w:val="24"/>
        </w:rPr>
        <w:t xml:space="preserve">recommended Slovakia </w:t>
      </w:r>
      <w:r w:rsidRPr="00016229">
        <w:rPr>
          <w:b w:val="0"/>
          <w:sz w:val="24"/>
          <w:lang w:val="en-US"/>
        </w:rPr>
        <w:t xml:space="preserve">to </w:t>
      </w:r>
      <w:r w:rsidR="00B27F96" w:rsidRPr="00016229">
        <w:rPr>
          <w:b w:val="0"/>
          <w:sz w:val="24"/>
          <w:lang w:val="en-US"/>
        </w:rPr>
        <w:t>further increase investigations, prosecutions and convictions for corruption, including in cases of gross corruption by high-level officials, and take robust measures to prevent future incidences of c</w:t>
      </w:r>
      <w:r w:rsidR="005130D0">
        <w:rPr>
          <w:b w:val="0"/>
          <w:sz w:val="24"/>
          <w:lang w:val="en-US"/>
        </w:rPr>
        <w:t>orruption</w:t>
      </w:r>
      <w:r w:rsidR="00384323" w:rsidRPr="00016229">
        <w:rPr>
          <w:b w:val="0"/>
          <w:sz w:val="24"/>
        </w:rPr>
        <w:t xml:space="preserve"> </w:t>
      </w:r>
      <w:r w:rsidR="005130D0">
        <w:rPr>
          <w:b w:val="0"/>
          <w:sz w:val="24"/>
        </w:rPr>
        <w:t>(</w:t>
      </w:r>
      <w:hyperlink r:id="rId16" w:history="1">
        <w:r w:rsidR="00441155" w:rsidRPr="00016229">
          <w:rPr>
            <w:rStyle w:val="Hyperlink"/>
            <w:b w:val="0"/>
            <w:sz w:val="24"/>
          </w:rPr>
          <w:t>E/C.12/SVK/CO/3</w:t>
        </w:r>
      </w:hyperlink>
      <w:r w:rsidR="00384323" w:rsidRPr="00016229">
        <w:rPr>
          <w:rStyle w:val="Hyperlink"/>
          <w:b w:val="0"/>
          <w:sz w:val="24"/>
        </w:rPr>
        <w:t>,</w:t>
      </w:r>
      <w:r w:rsidR="00441155" w:rsidRPr="00016229">
        <w:rPr>
          <w:b w:val="0"/>
          <w:sz w:val="24"/>
        </w:rPr>
        <w:t xml:space="preserve"> para 8,9)</w:t>
      </w:r>
      <w:r w:rsidR="005130D0">
        <w:rPr>
          <w:b w:val="0"/>
          <w:sz w:val="24"/>
        </w:rPr>
        <w:t>.</w:t>
      </w:r>
    </w:p>
    <w:p w14:paraId="52C3080D" w14:textId="1F18B025" w:rsidR="008470D2" w:rsidRPr="00FD426B" w:rsidRDefault="008470D2" w:rsidP="00621D7E">
      <w:pPr>
        <w:jc w:val="both"/>
        <w:rPr>
          <w:lang w:val="en-GB"/>
        </w:rPr>
      </w:pPr>
    </w:p>
    <w:p w14:paraId="569FB549" w14:textId="1D822EFD" w:rsidR="00B27F96" w:rsidRPr="002868DD" w:rsidRDefault="006069D7" w:rsidP="000517C6">
      <w:pPr>
        <w:jc w:val="both"/>
        <w:rPr>
          <w:color w:val="000000"/>
          <w:lang w:val="en-US"/>
        </w:rPr>
      </w:pPr>
      <w:r>
        <w:rPr>
          <w:lang w:val="en-GB"/>
        </w:rPr>
        <w:t xml:space="preserve">At its 2019 UPR, Slovakia </w:t>
      </w:r>
      <w:r w:rsidR="008470D2" w:rsidRPr="00FD426B">
        <w:rPr>
          <w:lang w:val="en-GB"/>
        </w:rPr>
        <w:t xml:space="preserve">supported </w:t>
      </w:r>
      <w:r>
        <w:rPr>
          <w:lang w:val="en-GB"/>
        </w:rPr>
        <w:t>several</w:t>
      </w:r>
      <w:r w:rsidRPr="00FD426B">
        <w:rPr>
          <w:lang w:val="en-GB"/>
        </w:rPr>
        <w:t xml:space="preserve"> </w:t>
      </w:r>
      <w:r w:rsidR="008470D2" w:rsidRPr="00FD426B">
        <w:rPr>
          <w:lang w:val="en-GB"/>
        </w:rPr>
        <w:t>related recommendation</w:t>
      </w:r>
      <w:r>
        <w:rPr>
          <w:lang w:val="en-GB"/>
        </w:rPr>
        <w:t>s, n</w:t>
      </w:r>
      <w:r w:rsidR="008470D2" w:rsidRPr="00FD426B">
        <w:rPr>
          <w:color w:val="000000"/>
          <w:lang w:val="en-GB"/>
        </w:rPr>
        <w:t xml:space="preserve">amely </w:t>
      </w:r>
      <w:r>
        <w:rPr>
          <w:color w:val="000000"/>
          <w:lang w:val="en-US"/>
        </w:rPr>
        <w:t>to ‘t</w:t>
      </w:r>
      <w:r w:rsidR="008470D2" w:rsidRPr="008C7AE0">
        <w:rPr>
          <w:color w:val="000000"/>
          <w:lang w:val="en-US"/>
        </w:rPr>
        <w:t>ake all necessary steps to strengthen anti-corruption laws, ensure independence of the judiciary and protect the rights and safety of journalists</w:t>
      </w:r>
      <w:r>
        <w:rPr>
          <w:color w:val="000000"/>
          <w:lang w:val="en-US"/>
        </w:rPr>
        <w:t>’, to ‘</w:t>
      </w:r>
      <w:r>
        <w:rPr>
          <w:lang w:val="en-GB"/>
        </w:rPr>
        <w:t>r</w:t>
      </w:r>
      <w:r w:rsidR="008470D2" w:rsidRPr="008C7AE0">
        <w:rPr>
          <w:color w:val="000000"/>
          <w:lang w:val="en-US"/>
        </w:rPr>
        <w:t>eform the police and prosecution services by improving transparency and oversight to combat corruption, increase accountability and improve public trust in the judicial system</w:t>
      </w:r>
      <w:r>
        <w:rPr>
          <w:color w:val="000000"/>
          <w:lang w:val="en-US"/>
        </w:rPr>
        <w:t>’</w:t>
      </w:r>
      <w:r w:rsidR="004134CF" w:rsidRPr="00FD426B">
        <w:rPr>
          <w:color w:val="000000"/>
          <w:lang w:val="en-GB"/>
        </w:rPr>
        <w:t xml:space="preserve">, and </w:t>
      </w:r>
      <w:r>
        <w:rPr>
          <w:color w:val="000000"/>
          <w:lang w:val="en-GB"/>
        </w:rPr>
        <w:t>‘to</w:t>
      </w:r>
      <w:r>
        <w:rPr>
          <w:color w:val="000000"/>
          <w:lang w:val="en-US"/>
        </w:rPr>
        <w:t xml:space="preserve"> c</w:t>
      </w:r>
      <w:r w:rsidR="004134CF" w:rsidRPr="008C7AE0">
        <w:rPr>
          <w:color w:val="000000"/>
          <w:lang w:val="en-US"/>
        </w:rPr>
        <w:t xml:space="preserve">ontinue improving the functioning of the justice system, including the prosecutor’s office, and the fight against the corruption and the </w:t>
      </w:r>
      <w:r w:rsidR="004134CF" w:rsidRPr="008C7AE0">
        <w:rPr>
          <w:color w:val="000000"/>
          <w:lang w:val="en-US"/>
        </w:rPr>
        <w:lastRenderedPageBreak/>
        <w:t>slowness of judicial procedures</w:t>
      </w:r>
      <w:r w:rsidR="004134CF" w:rsidRPr="00FD426B">
        <w:rPr>
          <w:color w:val="000000"/>
          <w:lang w:val="en-GB"/>
        </w:rPr>
        <w:t>.</w:t>
      </w:r>
      <w:r>
        <w:rPr>
          <w:color w:val="000000"/>
          <w:lang w:val="en-GB"/>
        </w:rPr>
        <w:t>’</w:t>
      </w:r>
      <w:r w:rsidR="008470D2" w:rsidRPr="00FD426B">
        <w:rPr>
          <w:bCs/>
          <w:color w:val="000000"/>
          <w:lang w:val="en-GB"/>
        </w:rPr>
        <w:t xml:space="preserve"> (</w:t>
      </w:r>
      <w:hyperlink r:id="rId17" w:history="1">
        <w:r w:rsidR="008470D2" w:rsidRPr="002868DD">
          <w:rPr>
            <w:rStyle w:val="Hyperlink"/>
            <w:lang w:val="en-US"/>
          </w:rPr>
          <w:t>A/HRC/41/13/Add.1</w:t>
        </w:r>
      </w:hyperlink>
      <w:r w:rsidR="00384323">
        <w:rPr>
          <w:rStyle w:val="Hyperlink"/>
          <w:lang w:val="en-US"/>
        </w:rPr>
        <w:t>,</w:t>
      </w:r>
      <w:r w:rsidR="008470D2" w:rsidRPr="00FD426B">
        <w:rPr>
          <w:lang w:val="en-GB"/>
        </w:rPr>
        <w:t xml:space="preserve"> para 3</w:t>
      </w:r>
      <w:r>
        <w:rPr>
          <w:lang w:val="en-GB"/>
        </w:rPr>
        <w:t xml:space="preserve">, Recommendations </w:t>
      </w:r>
      <w:r w:rsidRPr="008C7AE0">
        <w:rPr>
          <w:color w:val="000000"/>
          <w:lang w:val="en-US"/>
        </w:rPr>
        <w:t>121.80</w:t>
      </w:r>
      <w:r>
        <w:rPr>
          <w:color w:val="000000"/>
          <w:lang w:val="en-US"/>
        </w:rPr>
        <w:t>, 121.81 and 121.95</w:t>
      </w:r>
      <w:r w:rsidR="008470D2" w:rsidRPr="00FD426B">
        <w:rPr>
          <w:lang w:val="en-GB"/>
        </w:rPr>
        <w:t>)</w:t>
      </w:r>
    </w:p>
    <w:p w14:paraId="71A17B83" w14:textId="77777777" w:rsidR="00B27F96" w:rsidRPr="00FD426B" w:rsidRDefault="00B27F96" w:rsidP="001B7CA2">
      <w:pPr>
        <w:rPr>
          <w:lang w:val="en-GB"/>
        </w:rPr>
      </w:pPr>
    </w:p>
    <w:p w14:paraId="3A13B46E" w14:textId="77777777" w:rsidR="001B7CA2" w:rsidRPr="00FD426B" w:rsidRDefault="001B7CA2" w:rsidP="001B7CA2">
      <w:pPr>
        <w:rPr>
          <w:lang w:val="en-GB"/>
        </w:rPr>
      </w:pPr>
      <w:r w:rsidRPr="00FD426B">
        <w:rPr>
          <w:i/>
          <w:iCs/>
          <w:lang w:val="en-GB"/>
        </w:rPr>
        <w:t xml:space="preserve">23. List the sectors with high-risks of corruption in your Member State and list the relevant measures taken/envisaged for preventing corruption and conflict of interest in these sectors. (e.g. public procurement, healthcare, other). </w:t>
      </w:r>
    </w:p>
    <w:p w14:paraId="20FDC079" w14:textId="77777777" w:rsidR="001B7CA2" w:rsidRPr="00FD426B" w:rsidRDefault="001B7CA2" w:rsidP="001B7CA2">
      <w:pPr>
        <w:rPr>
          <w:lang w:val="en-GB"/>
        </w:rPr>
      </w:pPr>
      <w:r w:rsidRPr="00FD426B">
        <w:rPr>
          <w:i/>
          <w:iCs/>
          <w:lang w:val="en-GB"/>
        </w:rPr>
        <w:t xml:space="preserve">24. Measures taken to address corruption risks in the context of the COVID-19 pandemic. </w:t>
      </w:r>
    </w:p>
    <w:p w14:paraId="64F7D6A8" w14:textId="059DB216" w:rsidR="005C24D9" w:rsidRPr="00FD426B" w:rsidRDefault="001B7CA2" w:rsidP="001B7CA2">
      <w:pPr>
        <w:rPr>
          <w:i/>
          <w:iCs/>
          <w:lang w:val="en-GB"/>
        </w:rPr>
      </w:pPr>
      <w:r w:rsidRPr="00FD426B">
        <w:rPr>
          <w:i/>
          <w:iCs/>
          <w:lang w:val="en-GB"/>
        </w:rPr>
        <w:t xml:space="preserve">25. Any other relevant measures to prevent corruption in public and private sector </w:t>
      </w:r>
    </w:p>
    <w:p w14:paraId="2B2E1A77" w14:textId="2B7F386E" w:rsidR="005C24D9" w:rsidRPr="00FD426B" w:rsidRDefault="005C24D9" w:rsidP="005C24D9">
      <w:pPr>
        <w:rPr>
          <w:lang w:val="en-GB" w:eastAsia="zh-CN"/>
        </w:rPr>
      </w:pPr>
    </w:p>
    <w:p w14:paraId="4BB7943D" w14:textId="583C7541" w:rsidR="00B27F96" w:rsidRDefault="00B27F96" w:rsidP="001B7CA2">
      <w:pPr>
        <w:rPr>
          <w:lang w:val="en-GB"/>
        </w:rPr>
      </w:pPr>
    </w:p>
    <w:p w14:paraId="36FE9444" w14:textId="77777777" w:rsidR="00384323" w:rsidRPr="00FD426B" w:rsidRDefault="00384323" w:rsidP="001B7CA2">
      <w:pPr>
        <w:rPr>
          <w:lang w:val="en-US"/>
        </w:rPr>
      </w:pPr>
    </w:p>
    <w:p w14:paraId="06A5981B" w14:textId="77777777" w:rsidR="001B7CA2" w:rsidRPr="00FD426B" w:rsidRDefault="001B7CA2" w:rsidP="001B7CA2">
      <w:pPr>
        <w:rPr>
          <w:lang w:val="en-GB"/>
        </w:rPr>
      </w:pPr>
      <w:r w:rsidRPr="00FD426B">
        <w:rPr>
          <w:b/>
          <w:bCs/>
          <w:i/>
          <w:iCs/>
          <w:lang w:val="en-GB"/>
        </w:rPr>
        <w:t xml:space="preserve">C. Repressive measures </w:t>
      </w:r>
    </w:p>
    <w:p w14:paraId="19C8E6A7" w14:textId="77777777" w:rsidR="001B7CA2" w:rsidRPr="00FD426B" w:rsidRDefault="001B7CA2" w:rsidP="001B7CA2">
      <w:pPr>
        <w:rPr>
          <w:lang w:val="en-GB"/>
        </w:rPr>
      </w:pPr>
      <w:r w:rsidRPr="00FD426B">
        <w:rPr>
          <w:i/>
          <w:iCs/>
          <w:lang w:val="en-GB"/>
        </w:rPr>
        <w:t xml:space="preserve">26. Criminalisation of corruption and related offences </w:t>
      </w:r>
    </w:p>
    <w:p w14:paraId="4B4559E7" w14:textId="77777777" w:rsidR="001B7CA2" w:rsidRPr="00FD426B" w:rsidRDefault="001B7CA2" w:rsidP="001B7CA2">
      <w:pPr>
        <w:rPr>
          <w:lang w:val="en-GB"/>
        </w:rPr>
      </w:pPr>
      <w:r w:rsidRPr="00FD426B">
        <w:rPr>
          <w:i/>
          <w:iCs/>
          <w:lang w:val="en-GB"/>
        </w:rPr>
        <w:t xml:space="preserve">27. Data on investigation and application of sanctions for corruption offences (including for legal persons and high level and complex corruption cases) and their transparency, including as regards to the implementation of EU funds. </w:t>
      </w:r>
    </w:p>
    <w:p w14:paraId="3E96C677" w14:textId="77777777" w:rsidR="001B7CA2" w:rsidRPr="00FD426B" w:rsidRDefault="001B7CA2" w:rsidP="001B7CA2">
      <w:pPr>
        <w:rPr>
          <w:lang w:val="en-GB"/>
        </w:rPr>
      </w:pPr>
      <w:r w:rsidRPr="00FD426B">
        <w:rPr>
          <w:i/>
          <w:iCs/>
          <w:lang w:val="en-GB"/>
        </w:rPr>
        <w:t xml:space="preserve">28. Potential obstacles to investigation and prosecution of high-level and complex corruption cases (e.g. political immunity regulation) </w:t>
      </w:r>
    </w:p>
    <w:p w14:paraId="39488B03" w14:textId="70442FB3" w:rsidR="001B7CA2" w:rsidRPr="00FD426B" w:rsidRDefault="001B7CA2" w:rsidP="001B7CA2">
      <w:pPr>
        <w:rPr>
          <w:b/>
          <w:bCs/>
          <w:i/>
          <w:iCs/>
          <w:lang w:val="en-GB"/>
        </w:rPr>
      </w:pPr>
      <w:r w:rsidRPr="00FD426B">
        <w:rPr>
          <w:b/>
          <w:bCs/>
          <w:i/>
          <w:iCs/>
          <w:lang w:val="en-GB"/>
        </w:rPr>
        <w:t xml:space="preserve">Other – please specify </w:t>
      </w:r>
    </w:p>
    <w:p w14:paraId="02E6E004" w14:textId="77777777" w:rsidR="00922B2C" w:rsidRPr="00FD426B" w:rsidRDefault="00922B2C" w:rsidP="001B7CA2">
      <w:pPr>
        <w:rPr>
          <w:lang w:val="en-GB"/>
        </w:rPr>
      </w:pPr>
    </w:p>
    <w:p w14:paraId="2F09CC61" w14:textId="77777777" w:rsidR="001B7CA2" w:rsidRPr="00FD426B" w:rsidRDefault="001B7CA2" w:rsidP="001B7CA2">
      <w:pPr>
        <w:rPr>
          <w:lang w:val="en-GB"/>
        </w:rPr>
      </w:pPr>
      <w:r w:rsidRPr="00FD426B">
        <w:rPr>
          <w:b/>
          <w:bCs/>
          <w:lang w:val="en-GB"/>
        </w:rPr>
        <w:t xml:space="preserve">III. Media pluralism </w:t>
      </w:r>
    </w:p>
    <w:p w14:paraId="25F27A5C" w14:textId="77777777" w:rsidR="001B7CA2" w:rsidRPr="00FD426B" w:rsidRDefault="001B7CA2" w:rsidP="001B7CA2">
      <w:pPr>
        <w:rPr>
          <w:lang w:val="en-GB"/>
        </w:rPr>
      </w:pPr>
      <w:r w:rsidRPr="00FD426B">
        <w:rPr>
          <w:b/>
          <w:bCs/>
          <w:i/>
          <w:iCs/>
          <w:lang w:val="en-GB"/>
        </w:rPr>
        <w:t xml:space="preserve">A. Media authorities and bodies </w:t>
      </w:r>
    </w:p>
    <w:p w14:paraId="624CDC15" w14:textId="77777777" w:rsidR="001B7CA2" w:rsidRPr="00FD426B" w:rsidRDefault="001B7CA2" w:rsidP="001B7CA2">
      <w:pPr>
        <w:rPr>
          <w:lang w:val="en-GB"/>
        </w:rPr>
      </w:pPr>
      <w:r w:rsidRPr="00FD426B">
        <w:rPr>
          <w:i/>
          <w:iCs/>
          <w:lang w:val="en-GB"/>
        </w:rPr>
        <w:t xml:space="preserve">29. Independence, enforcement powers and adequacy of resources of media regulatory authorities and bodies </w:t>
      </w:r>
    </w:p>
    <w:p w14:paraId="39A40877" w14:textId="77777777" w:rsidR="001B7CA2" w:rsidRPr="00FD426B" w:rsidRDefault="001B7CA2" w:rsidP="001B7CA2">
      <w:pPr>
        <w:rPr>
          <w:lang w:val="en-GB"/>
        </w:rPr>
      </w:pPr>
      <w:r w:rsidRPr="00FD426B">
        <w:rPr>
          <w:i/>
          <w:iCs/>
          <w:lang w:val="en-GB"/>
        </w:rPr>
        <w:t xml:space="preserve">30. Conditions and procedures for the appointment and dismissal of the head / members of the collegiate body of media regulatory authorities and bodies </w:t>
      </w:r>
    </w:p>
    <w:p w14:paraId="64E59A37" w14:textId="77777777" w:rsidR="001B7CA2" w:rsidRPr="00FD426B" w:rsidRDefault="001B7CA2" w:rsidP="001B7CA2">
      <w:pPr>
        <w:rPr>
          <w:lang w:val="en-GB"/>
        </w:rPr>
      </w:pPr>
      <w:r w:rsidRPr="00FD426B">
        <w:rPr>
          <w:i/>
          <w:iCs/>
          <w:lang w:val="en-GB"/>
        </w:rPr>
        <w:t xml:space="preserve">31. Existence and functions of media councils or other self-regulatory bodies </w:t>
      </w:r>
    </w:p>
    <w:p w14:paraId="575A19C7" w14:textId="77777777" w:rsidR="001B7CA2" w:rsidRPr="00FD426B" w:rsidRDefault="001B7CA2" w:rsidP="001B7CA2">
      <w:pPr>
        <w:rPr>
          <w:lang w:val="en-GB"/>
        </w:rPr>
      </w:pPr>
      <w:r w:rsidRPr="00FD426B">
        <w:rPr>
          <w:b/>
          <w:bCs/>
          <w:i/>
          <w:iCs/>
          <w:lang w:val="en-GB"/>
        </w:rPr>
        <w:t xml:space="preserve">B. Transparency of media ownership and government interference </w:t>
      </w:r>
    </w:p>
    <w:p w14:paraId="369BD36A" w14:textId="77777777" w:rsidR="001B7CA2" w:rsidRPr="00FD426B" w:rsidRDefault="001B7CA2" w:rsidP="001B7CA2">
      <w:pPr>
        <w:rPr>
          <w:lang w:val="en-GB"/>
        </w:rPr>
      </w:pPr>
      <w:r w:rsidRPr="00FD426B">
        <w:rPr>
          <w:i/>
          <w:iCs/>
          <w:lang w:val="en-GB"/>
        </w:rPr>
        <w:t xml:space="preserve">32. The transparent allocation of state advertising (including any rules regulating the matter); other safeguards against state / political interference </w:t>
      </w:r>
    </w:p>
    <w:p w14:paraId="130A6779" w14:textId="77777777" w:rsidR="001B7CA2" w:rsidRPr="00FD426B" w:rsidRDefault="001B7CA2" w:rsidP="001B7CA2">
      <w:pPr>
        <w:rPr>
          <w:lang w:val="en-GB"/>
        </w:rPr>
      </w:pPr>
      <w:r w:rsidRPr="00FD426B">
        <w:rPr>
          <w:i/>
          <w:iCs/>
          <w:lang w:val="en-GB"/>
        </w:rPr>
        <w:t xml:space="preserve">33. Rules governing transparency of media ownership and public availability of media ownership information </w:t>
      </w:r>
    </w:p>
    <w:p w14:paraId="113037E5" w14:textId="77777777" w:rsidR="001B7CA2" w:rsidRPr="00FD426B" w:rsidRDefault="001B7CA2" w:rsidP="001B7CA2">
      <w:pPr>
        <w:rPr>
          <w:lang w:val="en-GB"/>
        </w:rPr>
      </w:pPr>
      <w:r w:rsidRPr="00FD426B">
        <w:rPr>
          <w:b/>
          <w:bCs/>
          <w:i/>
          <w:iCs/>
          <w:lang w:val="en-GB"/>
        </w:rPr>
        <w:t xml:space="preserve">C. Framework for journalists' protection </w:t>
      </w:r>
    </w:p>
    <w:p w14:paraId="01DD02BE" w14:textId="77777777" w:rsidR="001B7CA2" w:rsidRPr="00FD426B" w:rsidRDefault="001B7CA2" w:rsidP="001B7CA2">
      <w:pPr>
        <w:rPr>
          <w:lang w:val="en-GB"/>
        </w:rPr>
      </w:pPr>
      <w:r w:rsidRPr="00FD426B">
        <w:rPr>
          <w:i/>
          <w:iCs/>
          <w:lang w:val="en-GB"/>
        </w:rPr>
        <w:t xml:space="preserve">34. Rules and practices guaranteeing journalist's independence and safety </w:t>
      </w:r>
    </w:p>
    <w:p w14:paraId="16BEEF7E" w14:textId="3B16E857" w:rsidR="001B7CA2" w:rsidRPr="00FD426B" w:rsidRDefault="001B7CA2" w:rsidP="001B7CA2">
      <w:pPr>
        <w:rPr>
          <w:i/>
          <w:iCs/>
          <w:lang w:val="en-GB"/>
        </w:rPr>
      </w:pPr>
      <w:r w:rsidRPr="00FD426B">
        <w:rPr>
          <w:i/>
          <w:iCs/>
          <w:lang w:val="en-GB"/>
        </w:rPr>
        <w:t xml:space="preserve">35. Law enforcement capacity to ensure journalists' safety and to investigate attacks on journalists </w:t>
      </w:r>
    </w:p>
    <w:p w14:paraId="78DC37E1" w14:textId="3358B09E" w:rsidR="0006271F" w:rsidRPr="00FD426B" w:rsidRDefault="0006271F" w:rsidP="001B7CA2">
      <w:pPr>
        <w:rPr>
          <w:i/>
          <w:iCs/>
          <w:lang w:val="en-GB"/>
        </w:rPr>
      </w:pPr>
    </w:p>
    <w:p w14:paraId="4AE28924" w14:textId="2B4072AA" w:rsidR="002C21E6" w:rsidRDefault="0006271F" w:rsidP="006717DD">
      <w:pPr>
        <w:jc w:val="both"/>
        <w:rPr>
          <w:lang w:val="en-GB"/>
        </w:rPr>
      </w:pPr>
      <w:r w:rsidRPr="00FD426B">
        <w:rPr>
          <w:lang w:val="en-GB"/>
        </w:rPr>
        <w:t>In 2018</w:t>
      </w:r>
      <w:r w:rsidR="009B7D07">
        <w:rPr>
          <w:lang w:val="en-GB"/>
        </w:rPr>
        <w:t>,</w:t>
      </w:r>
      <w:r w:rsidRPr="00FD426B">
        <w:rPr>
          <w:lang w:val="en-GB"/>
        </w:rPr>
        <w:t xml:space="preserve"> </w:t>
      </w:r>
      <w:r w:rsidRPr="008C7AE0">
        <w:rPr>
          <w:lang w:val="en-US"/>
        </w:rPr>
        <w:t>the</w:t>
      </w:r>
      <w:r w:rsidR="000C59F4">
        <w:rPr>
          <w:lang w:val="en-US"/>
        </w:rPr>
        <w:t xml:space="preserve"> UN</w:t>
      </w:r>
      <w:r w:rsidRPr="008C7AE0">
        <w:rPr>
          <w:lang w:val="en-US"/>
        </w:rPr>
        <w:t xml:space="preserve"> Special Rapporteur</w:t>
      </w:r>
      <w:r w:rsidR="006717DD">
        <w:rPr>
          <w:lang w:val="en-US"/>
        </w:rPr>
        <w:t>s</w:t>
      </w:r>
      <w:r w:rsidRPr="008C7AE0">
        <w:rPr>
          <w:lang w:val="en-US"/>
        </w:rPr>
        <w:t xml:space="preserve"> on extrajudicial, summary or arbitrary executions</w:t>
      </w:r>
      <w:r w:rsidR="006717DD">
        <w:rPr>
          <w:lang w:val="en-US"/>
        </w:rPr>
        <w:t xml:space="preserve"> and </w:t>
      </w:r>
      <w:r w:rsidRPr="008C7AE0">
        <w:rPr>
          <w:lang w:val="en-US"/>
        </w:rPr>
        <w:t xml:space="preserve">on the promotion and protection of the right to freedom of opinion and expression </w:t>
      </w:r>
      <w:r w:rsidR="000C59F4">
        <w:rPr>
          <w:lang w:val="en-GB"/>
        </w:rPr>
        <w:t xml:space="preserve">entered in a dialogue with Slovakia following </w:t>
      </w:r>
      <w:r w:rsidRPr="008C7AE0">
        <w:rPr>
          <w:lang w:val="en-US"/>
        </w:rPr>
        <w:t xml:space="preserve">the murder of the investigative journalist, Mr Jan Kuciak and his partner, Ms. Martina Kusnirova. </w:t>
      </w:r>
      <w:r w:rsidRPr="00FD426B">
        <w:rPr>
          <w:lang w:val="en-GB"/>
        </w:rPr>
        <w:t>The</w:t>
      </w:r>
      <w:r w:rsidR="000C59F4">
        <w:rPr>
          <w:lang w:val="en-GB"/>
        </w:rPr>
        <w:t>y</w:t>
      </w:r>
      <w:r w:rsidR="00E029A8">
        <w:rPr>
          <w:lang w:val="en-GB"/>
        </w:rPr>
        <w:t xml:space="preserve"> </w:t>
      </w:r>
      <w:r w:rsidRPr="00AA29BC">
        <w:rPr>
          <w:lang w:val="en-US"/>
        </w:rPr>
        <w:t>express</w:t>
      </w:r>
      <w:r w:rsidRPr="00FD426B">
        <w:rPr>
          <w:lang w:val="en-GB"/>
        </w:rPr>
        <w:t>ed</w:t>
      </w:r>
      <w:r w:rsidRPr="00AA29BC">
        <w:rPr>
          <w:lang w:val="en-US"/>
        </w:rPr>
        <w:t xml:space="preserve"> concern that despite </w:t>
      </w:r>
      <w:r w:rsidR="002C21E6" w:rsidRPr="00FD426B">
        <w:rPr>
          <w:lang w:val="en-GB"/>
        </w:rPr>
        <w:t xml:space="preserve">previously </w:t>
      </w:r>
      <w:r w:rsidRPr="00AA29BC">
        <w:rPr>
          <w:lang w:val="en-US"/>
        </w:rPr>
        <w:t>reporting threats received to the Prosecutor, no protection measures appear</w:t>
      </w:r>
      <w:r w:rsidR="006B2FBD" w:rsidRPr="00FD426B">
        <w:rPr>
          <w:lang w:val="en-GB"/>
        </w:rPr>
        <w:t>ed</w:t>
      </w:r>
      <w:r w:rsidRPr="00AA29BC">
        <w:rPr>
          <w:lang w:val="en-US"/>
        </w:rPr>
        <w:t xml:space="preserve"> to have been taken</w:t>
      </w:r>
      <w:r w:rsidR="006717DD">
        <w:rPr>
          <w:lang w:val="en-US"/>
        </w:rPr>
        <w:t xml:space="preserve">, as well as </w:t>
      </w:r>
      <w:r w:rsidRPr="00AA29BC">
        <w:rPr>
          <w:lang w:val="en-US"/>
        </w:rPr>
        <w:t xml:space="preserve">at the serious impact such killings </w:t>
      </w:r>
      <w:r w:rsidR="006717DD">
        <w:rPr>
          <w:lang w:val="en-US"/>
        </w:rPr>
        <w:t xml:space="preserve">would </w:t>
      </w:r>
      <w:r w:rsidRPr="00AA29BC">
        <w:rPr>
          <w:lang w:val="en-US"/>
        </w:rPr>
        <w:t xml:space="preserve">have not only on individual journalists and their families but also on the general public’s right to information and a democratic society. While </w:t>
      </w:r>
      <w:r w:rsidR="006B2FBD" w:rsidRPr="00FD426B">
        <w:rPr>
          <w:lang w:val="en-GB"/>
        </w:rPr>
        <w:t>they</w:t>
      </w:r>
      <w:r w:rsidRPr="00AA29BC">
        <w:rPr>
          <w:lang w:val="en-US"/>
        </w:rPr>
        <w:t xml:space="preserve"> welcome</w:t>
      </w:r>
      <w:r w:rsidR="006B2FBD" w:rsidRPr="00FD426B">
        <w:rPr>
          <w:lang w:val="en-GB"/>
        </w:rPr>
        <w:t>d</w:t>
      </w:r>
      <w:r w:rsidRPr="00AA29BC">
        <w:rPr>
          <w:lang w:val="en-US"/>
        </w:rPr>
        <w:t xml:space="preserve"> </w:t>
      </w:r>
      <w:r w:rsidR="006B2FBD" w:rsidRPr="00FD426B">
        <w:rPr>
          <w:lang w:val="en-GB"/>
        </w:rPr>
        <w:t>the</w:t>
      </w:r>
      <w:r w:rsidRPr="00AA29BC">
        <w:rPr>
          <w:lang w:val="en-US"/>
        </w:rPr>
        <w:t xml:space="preserve"> Government’s immediate response calling for an investigation into to the killings, </w:t>
      </w:r>
      <w:r w:rsidR="006B2FBD" w:rsidRPr="00FD426B">
        <w:rPr>
          <w:lang w:val="en-GB"/>
        </w:rPr>
        <w:t>they</w:t>
      </w:r>
      <w:r w:rsidRPr="00AA29BC">
        <w:rPr>
          <w:lang w:val="en-US"/>
        </w:rPr>
        <w:t xml:space="preserve"> underline</w:t>
      </w:r>
      <w:r w:rsidR="006717DD">
        <w:rPr>
          <w:lang w:val="en-US"/>
        </w:rPr>
        <w:t>d</w:t>
      </w:r>
      <w:r w:rsidRPr="00AA29BC">
        <w:rPr>
          <w:lang w:val="en-US"/>
        </w:rPr>
        <w:t xml:space="preserve"> the importance of a prompt, thorough and impartial investigation in order to bring those accountable to justice and to prevent impunity for crimes against journalists. Further, given the impact the killing may have on other reporting, </w:t>
      </w:r>
      <w:r w:rsidR="006B2FBD" w:rsidRPr="00FD426B">
        <w:rPr>
          <w:lang w:val="en-GB"/>
        </w:rPr>
        <w:t>they</w:t>
      </w:r>
      <w:r w:rsidRPr="00AA29BC">
        <w:rPr>
          <w:lang w:val="en-US"/>
        </w:rPr>
        <w:t xml:space="preserve"> urge</w:t>
      </w:r>
      <w:r w:rsidR="006B2FBD" w:rsidRPr="00FD426B">
        <w:rPr>
          <w:lang w:val="en-GB"/>
        </w:rPr>
        <w:t>d</w:t>
      </w:r>
      <w:r w:rsidRPr="00AA29BC">
        <w:rPr>
          <w:lang w:val="en-US"/>
        </w:rPr>
        <w:t xml:space="preserve"> the Government to take all possible steps to protect and support journalists working to uncover tax fraud and ot</w:t>
      </w:r>
      <w:r w:rsidR="005130D0">
        <w:rPr>
          <w:lang w:val="en-US"/>
        </w:rPr>
        <w:t>her matters of public interest (</w:t>
      </w:r>
      <w:hyperlink r:id="rId18" w:history="1">
        <w:r w:rsidR="006B2FBD" w:rsidRPr="00AA29BC">
          <w:rPr>
            <w:rStyle w:val="Hyperlink"/>
            <w:lang w:val="en-US"/>
          </w:rPr>
          <w:t>UA SVK 1/2018</w:t>
        </w:r>
      </w:hyperlink>
      <w:r w:rsidR="009B7D07">
        <w:rPr>
          <w:lang w:val="en-GB"/>
        </w:rPr>
        <w:t xml:space="preserve">, available at </w:t>
      </w:r>
      <w:hyperlink r:id="rId19" w:history="1">
        <w:r w:rsidR="009B7D07" w:rsidRPr="009B7D07">
          <w:rPr>
            <w:rStyle w:val="Hyperlink"/>
            <w:lang w:val="en-US"/>
          </w:rPr>
          <w:t>https://spcommreports.ohchr.org/Tmsearch/TMDocuments</w:t>
        </w:r>
      </w:hyperlink>
      <w:r w:rsidR="006717DD">
        <w:rPr>
          <w:lang w:val="en-GB"/>
        </w:rPr>
        <w:t xml:space="preserve">, see also </w:t>
      </w:r>
      <w:r w:rsidR="006717DD">
        <w:rPr>
          <w:lang w:val="en-US"/>
        </w:rPr>
        <w:t xml:space="preserve">press release at </w:t>
      </w:r>
      <w:r w:rsidR="009B7D07" w:rsidRPr="006717DD">
        <w:rPr>
          <w:color w:val="000000"/>
          <w:lang w:val="en-US"/>
        </w:rPr>
        <w:t xml:space="preserve"> </w:t>
      </w:r>
      <w:hyperlink r:id="rId20" w:history="1">
        <w:r w:rsidR="00C61D50" w:rsidRPr="0080495D">
          <w:rPr>
            <w:rStyle w:val="Hyperlink"/>
            <w:lang w:val="en-US"/>
          </w:rPr>
          <w:t>https://www.ohchr.org/EN/NewsEvents/Pages/DisplayNews.aspx?NewsID=22753&amp;LangID=E</w:t>
        </w:r>
      </w:hyperlink>
      <w:r w:rsidR="00C61D50" w:rsidRPr="00FD426B">
        <w:rPr>
          <w:lang w:val="en-GB"/>
        </w:rPr>
        <w:t xml:space="preserve"> </w:t>
      </w:r>
    </w:p>
    <w:p w14:paraId="61397494" w14:textId="77777777" w:rsidR="006717DD" w:rsidRPr="00FD426B" w:rsidRDefault="006717DD" w:rsidP="006717DD">
      <w:pPr>
        <w:jc w:val="both"/>
        <w:rPr>
          <w:lang w:val="en-GB"/>
        </w:rPr>
      </w:pPr>
    </w:p>
    <w:p w14:paraId="72B81988" w14:textId="5A8D3AF7" w:rsidR="00561033" w:rsidRPr="00FD426B" w:rsidRDefault="006717DD" w:rsidP="002C21E6">
      <w:pPr>
        <w:jc w:val="both"/>
        <w:rPr>
          <w:lang w:val="en-GB"/>
        </w:rPr>
      </w:pPr>
      <w:r>
        <w:rPr>
          <w:lang w:val="en-GB"/>
        </w:rPr>
        <w:t>At its 2019 Universal Periodic Review, Slovakia</w:t>
      </w:r>
      <w:r w:rsidR="00FD426B" w:rsidRPr="00FD426B">
        <w:rPr>
          <w:lang w:val="en-GB"/>
        </w:rPr>
        <w:t xml:space="preserve"> supported eight related recommendations </w:t>
      </w:r>
      <w:r>
        <w:rPr>
          <w:lang w:val="en-GB"/>
        </w:rPr>
        <w:t xml:space="preserve">following the double killing, such as </w:t>
      </w:r>
      <w:r w:rsidR="00FD426B" w:rsidRPr="00FD426B">
        <w:rPr>
          <w:color w:val="000000"/>
          <w:lang w:val="en-GB"/>
        </w:rPr>
        <w:t xml:space="preserve">to </w:t>
      </w:r>
      <w:r w:rsidR="00FD426B" w:rsidRPr="008C7AE0">
        <w:rPr>
          <w:color w:val="000000"/>
          <w:lang w:val="en-US"/>
        </w:rPr>
        <w:t>take all measures to protect and support journalists working to uncover corruption and other matters of the highest public interest</w:t>
      </w:r>
      <w:r w:rsidR="00FD426B" w:rsidRPr="00FD426B">
        <w:rPr>
          <w:color w:val="000000"/>
          <w:lang w:val="en-GB"/>
        </w:rPr>
        <w:t xml:space="preserve"> (</w:t>
      </w:r>
      <w:hyperlink r:id="rId21" w:history="1">
        <w:r w:rsidR="00FD426B" w:rsidRPr="008C7AE0">
          <w:rPr>
            <w:rStyle w:val="Hyperlink"/>
            <w:lang w:val="en-US"/>
          </w:rPr>
          <w:t>A/HRC/41/13/Add.1</w:t>
        </w:r>
      </w:hyperlink>
      <w:r w:rsidR="009B7D07">
        <w:rPr>
          <w:rStyle w:val="Hyperlink"/>
          <w:lang w:val="en-US"/>
        </w:rPr>
        <w:t>,</w:t>
      </w:r>
      <w:r w:rsidR="00FD426B" w:rsidRPr="00FD426B">
        <w:rPr>
          <w:lang w:val="en-GB"/>
        </w:rPr>
        <w:t xml:space="preserve"> para 3)</w:t>
      </w:r>
      <w:r w:rsidR="005130D0">
        <w:rPr>
          <w:lang w:val="en-GB"/>
        </w:rPr>
        <w:t>.</w:t>
      </w:r>
    </w:p>
    <w:p w14:paraId="6C7C7D3B" w14:textId="6B418120" w:rsidR="0006271F" w:rsidRPr="008C7AE0" w:rsidRDefault="0006271F" w:rsidP="001B7CA2">
      <w:pPr>
        <w:rPr>
          <w:lang w:val="en-US"/>
        </w:rPr>
      </w:pPr>
    </w:p>
    <w:p w14:paraId="35F67EA8" w14:textId="3EB781ED" w:rsidR="001B7CA2" w:rsidRDefault="001B7CA2" w:rsidP="001B7CA2">
      <w:pPr>
        <w:rPr>
          <w:i/>
          <w:iCs/>
          <w:lang w:val="en-GB"/>
        </w:rPr>
      </w:pPr>
      <w:r w:rsidRPr="00FD426B">
        <w:rPr>
          <w:i/>
          <w:iCs/>
          <w:lang w:val="en-GB"/>
        </w:rPr>
        <w:t xml:space="preserve">36. Access to information and public documents </w:t>
      </w:r>
    </w:p>
    <w:p w14:paraId="4C65C142" w14:textId="77777777" w:rsidR="001B7CA2" w:rsidRPr="00FD426B" w:rsidRDefault="001B7CA2" w:rsidP="001B7CA2">
      <w:pPr>
        <w:rPr>
          <w:lang w:val="en-GB"/>
        </w:rPr>
      </w:pPr>
      <w:r w:rsidRPr="00FD426B">
        <w:rPr>
          <w:i/>
          <w:iCs/>
          <w:lang w:val="en-GB"/>
        </w:rPr>
        <w:t xml:space="preserve">37. Lawsuits and convictions against journalists (incl. defamation cases) and safeguards against abuse </w:t>
      </w:r>
    </w:p>
    <w:p w14:paraId="0EA33604" w14:textId="6EAD7487" w:rsidR="00453DF4" w:rsidRPr="00FD426B" w:rsidRDefault="001B7CA2" w:rsidP="001B7CA2">
      <w:pPr>
        <w:rPr>
          <w:b/>
          <w:bCs/>
          <w:i/>
          <w:iCs/>
          <w:lang w:val="en-GB"/>
        </w:rPr>
      </w:pPr>
      <w:r w:rsidRPr="00FD426B">
        <w:rPr>
          <w:b/>
          <w:bCs/>
          <w:i/>
          <w:iCs/>
          <w:lang w:val="en-GB"/>
        </w:rPr>
        <w:t xml:space="preserve">Other – please specify </w:t>
      </w:r>
    </w:p>
    <w:p w14:paraId="2D13DFEA" w14:textId="77777777" w:rsidR="0031111D" w:rsidRPr="00FD426B" w:rsidRDefault="0031111D" w:rsidP="0031111D">
      <w:pPr>
        <w:jc w:val="both"/>
        <w:rPr>
          <w:lang w:val="en-GB"/>
        </w:rPr>
      </w:pPr>
    </w:p>
    <w:p w14:paraId="41498B47" w14:textId="77777777" w:rsidR="00922B2C" w:rsidRPr="00FD426B" w:rsidRDefault="00922B2C" w:rsidP="001B7CA2">
      <w:pPr>
        <w:rPr>
          <w:lang w:val="en-GB"/>
        </w:rPr>
      </w:pPr>
    </w:p>
    <w:p w14:paraId="6AC1EDE9" w14:textId="77777777" w:rsidR="001B7CA2" w:rsidRPr="00FD426B" w:rsidRDefault="001B7CA2" w:rsidP="001B7CA2">
      <w:pPr>
        <w:rPr>
          <w:lang w:val="en-GB"/>
        </w:rPr>
      </w:pPr>
      <w:r w:rsidRPr="00FD426B">
        <w:rPr>
          <w:b/>
          <w:bCs/>
          <w:lang w:val="en-GB"/>
        </w:rPr>
        <w:t xml:space="preserve">IV. Other institutional issues related to checks and balances </w:t>
      </w:r>
    </w:p>
    <w:p w14:paraId="2CD0E4AE" w14:textId="77777777" w:rsidR="001B7CA2" w:rsidRPr="00FD426B" w:rsidRDefault="001B7CA2" w:rsidP="001B7CA2">
      <w:pPr>
        <w:rPr>
          <w:lang w:val="en-GB"/>
        </w:rPr>
      </w:pPr>
      <w:r w:rsidRPr="00FD426B">
        <w:rPr>
          <w:b/>
          <w:bCs/>
          <w:i/>
          <w:iCs/>
          <w:lang w:val="en-GB"/>
        </w:rPr>
        <w:t xml:space="preserve">A. The process for preparing and enacting laws </w:t>
      </w:r>
    </w:p>
    <w:p w14:paraId="4828012C" w14:textId="3AE9F91E" w:rsidR="00A42049" w:rsidRPr="00FD426B" w:rsidRDefault="001B7CA2" w:rsidP="001B7CA2">
      <w:pPr>
        <w:rPr>
          <w:i/>
          <w:iCs/>
          <w:lang w:val="en-GB"/>
        </w:rPr>
      </w:pPr>
      <w:r w:rsidRPr="00FD426B">
        <w:rPr>
          <w:i/>
          <w:iCs/>
          <w:lang w:val="en-GB"/>
        </w:rPr>
        <w:t xml:space="preserve">38. Framework, policy and use of impact assessments, stakeholders'/public consultations (particularly consultation of judiciary on judicial reforms), and transparency and quality of the legislative process </w:t>
      </w:r>
    </w:p>
    <w:p w14:paraId="0F36D942" w14:textId="2BA6BADE" w:rsidR="00EF4DF8" w:rsidRPr="00FD426B" w:rsidRDefault="001B7CA2" w:rsidP="006717A5">
      <w:pPr>
        <w:rPr>
          <w:i/>
          <w:iCs/>
          <w:lang w:val="en-GB"/>
        </w:rPr>
      </w:pPr>
      <w:r w:rsidRPr="00FD426B">
        <w:rPr>
          <w:i/>
          <w:iCs/>
          <w:lang w:val="en-GB"/>
        </w:rPr>
        <w:t xml:space="preserve">39. Rules and use of fast-track procedures and emergency procedures (for example, the percentage of decisions adopted through emergency/urgent procedure compared to the total number of adopted decisions) </w:t>
      </w:r>
    </w:p>
    <w:p w14:paraId="529FAD71" w14:textId="77777777" w:rsidR="001B7CA2" w:rsidRPr="00FD426B" w:rsidRDefault="001B7CA2" w:rsidP="001B7CA2">
      <w:pPr>
        <w:rPr>
          <w:lang w:val="en-GB"/>
        </w:rPr>
      </w:pPr>
      <w:r w:rsidRPr="00FD426B">
        <w:rPr>
          <w:i/>
          <w:iCs/>
          <w:lang w:val="en-GB"/>
        </w:rPr>
        <w:t xml:space="preserve">40. Regime for constitutional review of laws </w:t>
      </w:r>
    </w:p>
    <w:p w14:paraId="52CD9F57" w14:textId="77777777" w:rsidR="001B7CA2" w:rsidRPr="00FD426B" w:rsidRDefault="001B7CA2" w:rsidP="001B7CA2">
      <w:pPr>
        <w:rPr>
          <w:lang w:val="en-GB"/>
        </w:rPr>
      </w:pPr>
      <w:r w:rsidRPr="00FD426B">
        <w:rPr>
          <w:i/>
          <w:iCs/>
          <w:lang w:val="en-GB"/>
        </w:rPr>
        <w:t xml:space="preserve">41. COVID-19: provide update on significant developments with regard to emergency regimes in the context of the COVID-19 pandemic </w:t>
      </w:r>
    </w:p>
    <w:p w14:paraId="3566BDE6" w14:textId="77777777" w:rsidR="001B7CA2" w:rsidRPr="00FD426B" w:rsidRDefault="001B7CA2" w:rsidP="001B7CA2">
      <w:pPr>
        <w:rPr>
          <w:lang w:val="en-GB"/>
        </w:rPr>
      </w:pPr>
      <w:r w:rsidRPr="00FD426B">
        <w:rPr>
          <w:lang w:val="en-GB"/>
        </w:rPr>
        <w:t xml:space="preserve">- </w:t>
      </w:r>
      <w:r w:rsidRPr="00FD426B">
        <w:rPr>
          <w:i/>
          <w:iCs/>
          <w:lang w:val="en-GB"/>
        </w:rPr>
        <w:t xml:space="preserve">judicial review (including constitutional review) of emergency regimes and measures in the context of COVID-19 pandemic </w:t>
      </w:r>
    </w:p>
    <w:p w14:paraId="418FEC9B" w14:textId="77777777" w:rsidR="001B7CA2" w:rsidRPr="00FD426B" w:rsidRDefault="001B7CA2" w:rsidP="001B7CA2">
      <w:pPr>
        <w:rPr>
          <w:lang w:val="en-GB"/>
        </w:rPr>
      </w:pPr>
      <w:r w:rsidRPr="00FD426B">
        <w:rPr>
          <w:lang w:val="en-GB"/>
        </w:rPr>
        <w:t xml:space="preserve">- </w:t>
      </w:r>
      <w:r w:rsidRPr="00FD426B">
        <w:rPr>
          <w:i/>
          <w:iCs/>
          <w:lang w:val="en-GB"/>
        </w:rPr>
        <w:t xml:space="preserve">oversight by Parliament of emergency regimes and measures in the context of COVID-19 pandemic </w:t>
      </w:r>
    </w:p>
    <w:p w14:paraId="4974DE29" w14:textId="77777777" w:rsidR="001B7CA2" w:rsidRPr="00FD426B" w:rsidRDefault="001B7CA2" w:rsidP="001B7CA2">
      <w:pPr>
        <w:rPr>
          <w:lang w:val="en-GB"/>
        </w:rPr>
      </w:pPr>
      <w:r w:rsidRPr="00FD426B">
        <w:rPr>
          <w:lang w:val="en-GB"/>
        </w:rPr>
        <w:t xml:space="preserve">- </w:t>
      </w:r>
      <w:r w:rsidRPr="00FD426B">
        <w:rPr>
          <w:i/>
          <w:iCs/>
          <w:lang w:val="en-GB"/>
        </w:rPr>
        <w:t xml:space="preserve">measures taken to ensure the continued activity of Parliament (including possible best practices) </w:t>
      </w:r>
    </w:p>
    <w:p w14:paraId="237B9B4B" w14:textId="77777777" w:rsidR="001B7CA2" w:rsidRPr="00FD426B" w:rsidRDefault="001B7CA2" w:rsidP="001B7CA2">
      <w:pPr>
        <w:rPr>
          <w:lang w:val="en-GB"/>
        </w:rPr>
      </w:pPr>
      <w:r w:rsidRPr="00FD426B">
        <w:rPr>
          <w:b/>
          <w:bCs/>
          <w:i/>
          <w:iCs/>
          <w:lang w:val="en-GB"/>
        </w:rPr>
        <w:t xml:space="preserve">B. Independent authorities </w:t>
      </w:r>
    </w:p>
    <w:p w14:paraId="25D40A66" w14:textId="432C31A7" w:rsidR="001B7CA2" w:rsidRPr="00FD426B" w:rsidRDefault="001B7CA2" w:rsidP="001B7CA2">
      <w:pPr>
        <w:rPr>
          <w:i/>
          <w:iCs/>
          <w:lang w:val="en-GB"/>
        </w:rPr>
      </w:pPr>
      <w:r w:rsidRPr="00FD426B">
        <w:rPr>
          <w:i/>
          <w:iCs/>
          <w:lang w:val="en-GB"/>
        </w:rPr>
        <w:t>42. Independence, capacity and powers of national human rights institutions (‘NHRIs’), of ombudsman institutions if different from NHRIs, of equality bodies if different from NHRIs and of supreme audit institutions</w:t>
      </w:r>
    </w:p>
    <w:p w14:paraId="1179B5D4" w14:textId="0541378C" w:rsidR="00967D65" w:rsidRPr="00FD426B" w:rsidRDefault="00967D65" w:rsidP="001B7CA2">
      <w:pPr>
        <w:rPr>
          <w:i/>
          <w:iCs/>
          <w:lang w:val="en-GB"/>
        </w:rPr>
      </w:pPr>
    </w:p>
    <w:p w14:paraId="5867612A" w14:textId="76FBBD51" w:rsidR="00580DDF" w:rsidRPr="00FD426B" w:rsidRDefault="00385F29" w:rsidP="00580DDF">
      <w:pPr>
        <w:jc w:val="both"/>
        <w:rPr>
          <w:lang w:val="en-GB"/>
        </w:rPr>
      </w:pPr>
      <w:r w:rsidRPr="00FD426B">
        <w:rPr>
          <w:lang w:val="en-GB"/>
        </w:rPr>
        <w:t xml:space="preserve">In </w:t>
      </w:r>
      <w:r w:rsidR="00134008">
        <w:rPr>
          <w:lang w:val="en-GB"/>
        </w:rPr>
        <w:t>their respective c</w:t>
      </w:r>
      <w:r w:rsidR="004A4532" w:rsidRPr="00FD426B">
        <w:rPr>
          <w:lang w:val="en-GB"/>
        </w:rPr>
        <w:t>oncluding observations</w:t>
      </w:r>
      <w:r w:rsidR="00134008">
        <w:rPr>
          <w:lang w:val="en-GB"/>
        </w:rPr>
        <w:t xml:space="preserve"> in 2018 and 2019,</w:t>
      </w:r>
      <w:r w:rsidR="004A4532" w:rsidRPr="00FD426B">
        <w:rPr>
          <w:lang w:val="en-GB"/>
        </w:rPr>
        <w:t xml:space="preserve"> </w:t>
      </w:r>
      <w:r w:rsidR="00134008">
        <w:rPr>
          <w:lang w:val="en-GB"/>
        </w:rPr>
        <w:t xml:space="preserve">the UN </w:t>
      </w:r>
      <w:r w:rsidR="00134008" w:rsidRPr="00FD426B">
        <w:rPr>
          <w:lang w:val="en-US"/>
        </w:rPr>
        <w:t>Committee for the Elimination of Racial Discrimination</w:t>
      </w:r>
      <w:r w:rsidR="00134008">
        <w:rPr>
          <w:lang w:val="en-US"/>
        </w:rPr>
        <w:t xml:space="preserve"> (CERD),</w:t>
      </w:r>
      <w:r w:rsidR="00134008" w:rsidRPr="00FD426B">
        <w:rPr>
          <w:lang w:val="en-US"/>
        </w:rPr>
        <w:t xml:space="preserve"> </w:t>
      </w:r>
      <w:r w:rsidRPr="00FD426B">
        <w:rPr>
          <w:lang w:val="en-GB"/>
        </w:rPr>
        <w:t xml:space="preserve">the </w:t>
      </w:r>
      <w:r w:rsidR="00134008">
        <w:rPr>
          <w:lang w:val="en-GB"/>
        </w:rPr>
        <w:t xml:space="preserve">UN </w:t>
      </w:r>
      <w:r w:rsidRPr="00FD426B">
        <w:rPr>
          <w:lang w:val="en-GB"/>
        </w:rPr>
        <w:t>Committee o</w:t>
      </w:r>
      <w:r w:rsidR="00134008">
        <w:rPr>
          <w:lang w:val="en-GB"/>
        </w:rPr>
        <w:t>n</w:t>
      </w:r>
      <w:r w:rsidRPr="00FD426B">
        <w:rPr>
          <w:lang w:val="en-GB"/>
        </w:rPr>
        <w:t xml:space="preserve"> Enforced Disappearance</w:t>
      </w:r>
      <w:r w:rsidR="001340FD" w:rsidRPr="00FD426B">
        <w:rPr>
          <w:lang w:val="en-GB"/>
        </w:rPr>
        <w:t>s</w:t>
      </w:r>
      <w:r w:rsidR="00134008">
        <w:rPr>
          <w:lang w:val="en-GB"/>
        </w:rPr>
        <w:t xml:space="preserve"> (CED) and the UN </w:t>
      </w:r>
      <w:r w:rsidR="00134008" w:rsidRPr="00FD426B">
        <w:rPr>
          <w:color w:val="000000" w:themeColor="text1"/>
          <w:lang w:val="en-GB"/>
        </w:rPr>
        <w:t>Committee on Economic, Social and Cultural Rights</w:t>
      </w:r>
      <w:r w:rsidR="00134008">
        <w:rPr>
          <w:color w:val="000000" w:themeColor="text1"/>
          <w:lang w:val="en-GB"/>
        </w:rPr>
        <w:t xml:space="preserve"> (CESCR) all expressed regret or concern </w:t>
      </w:r>
      <w:r w:rsidRPr="00AA29BC">
        <w:rPr>
          <w:lang w:val="en-US"/>
        </w:rPr>
        <w:t>that the Slovak National Centre for Human Rights d</w:t>
      </w:r>
      <w:r w:rsidRPr="00FD426B">
        <w:rPr>
          <w:lang w:val="en-GB"/>
        </w:rPr>
        <w:t>id</w:t>
      </w:r>
      <w:r w:rsidRPr="00AA29BC">
        <w:rPr>
          <w:lang w:val="en-US"/>
        </w:rPr>
        <w:t xml:space="preserve"> not yet fully comply with the </w:t>
      </w:r>
      <w:r w:rsidR="00134008">
        <w:rPr>
          <w:lang w:val="en-US"/>
        </w:rPr>
        <w:t xml:space="preserve">Paris </w:t>
      </w:r>
      <w:r w:rsidRPr="00AA29BC">
        <w:rPr>
          <w:lang w:val="en-US"/>
        </w:rPr>
        <w:t xml:space="preserve">principles </w:t>
      </w:r>
      <w:r w:rsidR="00134008">
        <w:rPr>
          <w:lang w:val="en-US"/>
        </w:rPr>
        <w:t>and remained a B-status NHRI</w:t>
      </w:r>
      <w:r w:rsidRPr="00AA29BC">
        <w:rPr>
          <w:lang w:val="en-US"/>
        </w:rPr>
        <w:t>. While</w:t>
      </w:r>
      <w:r w:rsidR="00134008">
        <w:rPr>
          <w:lang w:val="en-US"/>
        </w:rPr>
        <w:t xml:space="preserve"> the CED </w:t>
      </w:r>
      <w:r w:rsidRPr="00FD426B">
        <w:rPr>
          <w:lang w:val="en-GB"/>
        </w:rPr>
        <w:t>noted</w:t>
      </w:r>
      <w:r w:rsidRPr="00AA29BC">
        <w:rPr>
          <w:lang w:val="en-US"/>
        </w:rPr>
        <w:t xml:space="preserve"> with appreciation that the budget of the National Centre </w:t>
      </w:r>
      <w:r w:rsidR="00FD426B" w:rsidRPr="00FD426B">
        <w:rPr>
          <w:lang w:val="en-GB"/>
        </w:rPr>
        <w:t>had</w:t>
      </w:r>
      <w:r w:rsidRPr="00AA29BC">
        <w:rPr>
          <w:lang w:val="en-US"/>
        </w:rPr>
        <w:t xml:space="preserve"> recently increased by 40 per cent and that its personnel was also increased with seven additional employees, </w:t>
      </w:r>
      <w:r w:rsidR="00B41E48">
        <w:rPr>
          <w:lang w:val="en-US"/>
        </w:rPr>
        <w:t>it</w:t>
      </w:r>
      <w:r w:rsidRPr="00AA29BC">
        <w:rPr>
          <w:lang w:val="en-US"/>
        </w:rPr>
        <w:t xml:space="preserve"> regret</w:t>
      </w:r>
      <w:r w:rsidRPr="00FD426B">
        <w:rPr>
          <w:lang w:val="en-GB"/>
        </w:rPr>
        <w:t>ted</w:t>
      </w:r>
      <w:r w:rsidRPr="00AA29BC">
        <w:rPr>
          <w:lang w:val="en-US"/>
        </w:rPr>
        <w:t xml:space="preserve"> that the legislative reform to improve the normative framework of the National Centre proposed by the Government did not</w:t>
      </w:r>
      <w:r w:rsidR="00134008">
        <w:rPr>
          <w:lang w:val="en-US"/>
        </w:rPr>
        <w:t xml:space="preserve"> </w:t>
      </w:r>
      <w:r w:rsidRPr="00AA29BC">
        <w:rPr>
          <w:lang w:val="en-US"/>
        </w:rPr>
        <w:t>receive the necessary support in the National Council of the Slovak Republic.</w:t>
      </w:r>
      <w:r w:rsidRPr="00FD426B">
        <w:rPr>
          <w:lang w:val="en-GB"/>
        </w:rPr>
        <w:t xml:space="preserve"> </w:t>
      </w:r>
      <w:r w:rsidR="00134008">
        <w:rPr>
          <w:lang w:val="en-GB"/>
        </w:rPr>
        <w:t xml:space="preserve">The CESCR </w:t>
      </w:r>
      <w:r w:rsidR="00967D65" w:rsidRPr="00FD426B">
        <w:rPr>
          <w:lang w:val="en-GB"/>
        </w:rPr>
        <w:t>was</w:t>
      </w:r>
      <w:r w:rsidR="00967D65" w:rsidRPr="00AA29BC">
        <w:rPr>
          <w:lang w:val="en-US"/>
        </w:rPr>
        <w:t xml:space="preserve"> </w:t>
      </w:r>
      <w:r w:rsidR="00B41E48">
        <w:rPr>
          <w:lang w:val="en-US"/>
        </w:rPr>
        <w:t xml:space="preserve">further </w:t>
      </w:r>
      <w:r w:rsidR="00967D65" w:rsidRPr="00AA29BC">
        <w:rPr>
          <w:lang w:val="en-US"/>
        </w:rPr>
        <w:t xml:space="preserve">concerned by reports of inadequate funding to the Centre, and its lack of full independence and transparent appointment processes. </w:t>
      </w:r>
      <w:r w:rsidR="00134008">
        <w:rPr>
          <w:lang w:val="en-US"/>
        </w:rPr>
        <w:t xml:space="preserve">It </w:t>
      </w:r>
      <w:r w:rsidR="00134008">
        <w:rPr>
          <w:lang w:val="en-GB"/>
        </w:rPr>
        <w:t>recommended that Slovakia</w:t>
      </w:r>
      <w:r w:rsidR="00967D65" w:rsidRPr="00AA29BC">
        <w:rPr>
          <w:lang w:val="en-US"/>
        </w:rPr>
        <w:t>: (a)</w:t>
      </w:r>
      <w:r w:rsidR="00967D65" w:rsidRPr="00FD426B">
        <w:rPr>
          <w:lang w:val="en-GB"/>
        </w:rPr>
        <w:t xml:space="preserve"> </w:t>
      </w:r>
      <w:r w:rsidR="00134008">
        <w:rPr>
          <w:lang w:val="en-US"/>
        </w:rPr>
        <w:t>e</w:t>
      </w:r>
      <w:r w:rsidR="00967D65" w:rsidRPr="00AA29BC">
        <w:rPr>
          <w:lang w:val="en-US"/>
        </w:rPr>
        <w:t>xpand efforts to increase funding to the Slovak National Centre for Human Rights;</w:t>
      </w:r>
      <w:r w:rsidR="00967D65" w:rsidRPr="00FD426B">
        <w:rPr>
          <w:i/>
          <w:iCs/>
          <w:lang w:val="en-GB"/>
        </w:rPr>
        <w:t xml:space="preserve"> </w:t>
      </w:r>
      <w:r w:rsidR="00967D65" w:rsidRPr="00AA29BC">
        <w:rPr>
          <w:lang w:val="en-US"/>
        </w:rPr>
        <w:t>(b)</w:t>
      </w:r>
      <w:r w:rsidR="00967D65" w:rsidRPr="00FD426B">
        <w:rPr>
          <w:lang w:val="en-GB"/>
        </w:rPr>
        <w:t xml:space="preserve"> </w:t>
      </w:r>
      <w:r w:rsidR="00134008">
        <w:rPr>
          <w:lang w:val="en-GB"/>
        </w:rPr>
        <w:t>i</w:t>
      </w:r>
      <w:r w:rsidR="00967D65" w:rsidRPr="00AA29BC">
        <w:rPr>
          <w:lang w:val="en-US"/>
        </w:rPr>
        <w:t>mprove the independence of the Centre in accordance with the Paris Principles;</w:t>
      </w:r>
      <w:r w:rsidR="00967D65" w:rsidRPr="00FD426B">
        <w:rPr>
          <w:i/>
          <w:iCs/>
          <w:lang w:val="en-GB"/>
        </w:rPr>
        <w:t xml:space="preserve"> </w:t>
      </w:r>
      <w:r w:rsidR="00967D65" w:rsidRPr="00AA29BC">
        <w:rPr>
          <w:lang w:val="en-US"/>
        </w:rPr>
        <w:t>(c)</w:t>
      </w:r>
      <w:r w:rsidR="00967D65" w:rsidRPr="00FD426B">
        <w:rPr>
          <w:lang w:val="en-GB"/>
        </w:rPr>
        <w:t xml:space="preserve"> </w:t>
      </w:r>
      <w:r w:rsidR="00134008">
        <w:rPr>
          <w:lang w:val="en-US"/>
        </w:rPr>
        <w:lastRenderedPageBreak/>
        <w:t>t</w:t>
      </w:r>
      <w:r w:rsidR="00967D65" w:rsidRPr="00AA29BC">
        <w:rPr>
          <w:lang w:val="en-US"/>
        </w:rPr>
        <w:t>ake all necessary steps to ensure fully transparent recruitment processes for all staff members;</w:t>
      </w:r>
      <w:r w:rsidR="00967D65" w:rsidRPr="00FD426B">
        <w:rPr>
          <w:i/>
          <w:iCs/>
          <w:lang w:val="en-GB"/>
        </w:rPr>
        <w:t xml:space="preserve"> </w:t>
      </w:r>
      <w:r w:rsidR="00967D65" w:rsidRPr="00AA29BC">
        <w:rPr>
          <w:lang w:val="en-US"/>
        </w:rPr>
        <w:t>(d)</w:t>
      </w:r>
      <w:r w:rsidRPr="00FD426B">
        <w:rPr>
          <w:lang w:val="en-GB"/>
        </w:rPr>
        <w:t xml:space="preserve"> </w:t>
      </w:r>
      <w:r w:rsidR="00967D65" w:rsidRPr="00AA29BC">
        <w:rPr>
          <w:lang w:val="en-US"/>
        </w:rPr>
        <w:t xml:space="preserve">Ensure that all institutions overseeing the promotion and protection of human rights, including the Centre, the Public Defender of Rights, the </w:t>
      </w:r>
      <w:r w:rsidR="00134008">
        <w:rPr>
          <w:lang w:val="en-US"/>
        </w:rPr>
        <w:t>C</w:t>
      </w:r>
      <w:r w:rsidR="00967D65" w:rsidRPr="00AA29BC">
        <w:rPr>
          <w:lang w:val="en-US"/>
        </w:rPr>
        <w:t xml:space="preserve">ommissioner for persons with disabilities and the </w:t>
      </w:r>
      <w:r w:rsidR="00134008">
        <w:rPr>
          <w:lang w:val="en-US"/>
        </w:rPr>
        <w:t>C</w:t>
      </w:r>
      <w:r w:rsidR="00967D65" w:rsidRPr="00AA29BC">
        <w:rPr>
          <w:lang w:val="en-US"/>
        </w:rPr>
        <w:t>ommissioner for children, work together under a comprehensive framework</w:t>
      </w:r>
      <w:r w:rsidR="005130D0">
        <w:rPr>
          <w:b/>
          <w:bCs/>
          <w:lang w:val="en-US"/>
        </w:rPr>
        <w:t xml:space="preserve"> </w:t>
      </w:r>
      <w:r w:rsidR="00580DDF" w:rsidRPr="00AA29BC">
        <w:rPr>
          <w:lang w:val="en-US"/>
        </w:rPr>
        <w:t>(</w:t>
      </w:r>
      <w:hyperlink r:id="rId22" w:history="1">
        <w:r w:rsidR="00580DDF" w:rsidRPr="00AA29BC">
          <w:rPr>
            <w:rStyle w:val="Hyperlink"/>
            <w:lang w:val="en-US"/>
          </w:rPr>
          <w:t>CERD/C/SVK/CO/11-12</w:t>
        </w:r>
      </w:hyperlink>
      <w:r w:rsidR="005130D0">
        <w:rPr>
          <w:rStyle w:val="Hyperlink"/>
          <w:lang w:val="en-US"/>
        </w:rPr>
        <w:t>,</w:t>
      </w:r>
      <w:r w:rsidR="00580DDF" w:rsidRPr="00FD426B">
        <w:rPr>
          <w:lang w:val="en-GB"/>
        </w:rPr>
        <w:t xml:space="preserve"> para 7,</w:t>
      </w:r>
      <w:r w:rsidR="00134008">
        <w:rPr>
          <w:lang w:val="en-GB"/>
        </w:rPr>
        <w:t xml:space="preserve"> </w:t>
      </w:r>
      <w:r w:rsidR="00580DDF" w:rsidRPr="00FD426B">
        <w:rPr>
          <w:lang w:val="en-GB"/>
        </w:rPr>
        <w:t>8</w:t>
      </w:r>
      <w:r w:rsidR="00134008">
        <w:rPr>
          <w:lang w:val="en-GB"/>
        </w:rPr>
        <w:t xml:space="preserve">; </w:t>
      </w:r>
      <w:hyperlink r:id="rId23" w:history="1">
        <w:r w:rsidR="00134008" w:rsidRPr="00AA29BC">
          <w:rPr>
            <w:rStyle w:val="Hyperlink"/>
            <w:lang w:val="en-US"/>
          </w:rPr>
          <w:t>CED/C/SVK/CO/1</w:t>
        </w:r>
      </w:hyperlink>
      <w:r w:rsidR="005130D0">
        <w:rPr>
          <w:rStyle w:val="Hyperlink"/>
          <w:lang w:val="en-US"/>
        </w:rPr>
        <w:t>,</w:t>
      </w:r>
      <w:r w:rsidR="005130D0">
        <w:rPr>
          <w:lang w:val="en-GB"/>
        </w:rPr>
        <w:t xml:space="preserve"> para</w:t>
      </w:r>
      <w:r w:rsidR="00134008" w:rsidRPr="00FD426B">
        <w:rPr>
          <w:lang w:val="en-GB"/>
        </w:rPr>
        <w:t xml:space="preserve"> 10,11</w:t>
      </w:r>
      <w:r w:rsidR="00134008">
        <w:rPr>
          <w:lang w:val="en-GB"/>
        </w:rPr>
        <w:t xml:space="preserve">; </w:t>
      </w:r>
      <w:hyperlink r:id="rId24" w:history="1">
        <w:r w:rsidR="00134008" w:rsidRPr="00FD426B">
          <w:rPr>
            <w:rStyle w:val="Hyperlink"/>
            <w:lang w:val="en-US"/>
          </w:rPr>
          <w:t>E/C.12/SVK/CO/3</w:t>
        </w:r>
      </w:hyperlink>
      <w:r w:rsidR="00134008">
        <w:rPr>
          <w:rStyle w:val="Hyperlink"/>
          <w:lang w:val="en-US"/>
        </w:rPr>
        <w:t>,</w:t>
      </w:r>
      <w:r w:rsidR="00134008" w:rsidRPr="00FD426B">
        <w:rPr>
          <w:lang w:val="en-US"/>
        </w:rPr>
        <w:t xml:space="preserve"> para 6,</w:t>
      </w:r>
      <w:r w:rsidR="00134008">
        <w:rPr>
          <w:lang w:val="en-US"/>
        </w:rPr>
        <w:t xml:space="preserve"> </w:t>
      </w:r>
      <w:r w:rsidR="00134008" w:rsidRPr="00FD426B">
        <w:rPr>
          <w:lang w:val="en-US"/>
        </w:rPr>
        <w:t>7</w:t>
      </w:r>
      <w:r w:rsidR="00580DDF" w:rsidRPr="00FD426B">
        <w:rPr>
          <w:lang w:val="en-GB"/>
        </w:rPr>
        <w:t>)</w:t>
      </w:r>
      <w:r w:rsidR="00134008">
        <w:rPr>
          <w:lang w:val="en-GB"/>
        </w:rPr>
        <w:t>.</w:t>
      </w:r>
    </w:p>
    <w:p w14:paraId="0F94C2A9" w14:textId="58FC7F38" w:rsidR="00B83644" w:rsidRPr="00FD426B" w:rsidRDefault="00B83644" w:rsidP="00967D65">
      <w:pPr>
        <w:jc w:val="both"/>
        <w:rPr>
          <w:lang w:val="en-US"/>
        </w:rPr>
      </w:pPr>
    </w:p>
    <w:p w14:paraId="248D1183" w14:textId="070E32E3" w:rsidR="00967D65" w:rsidRDefault="00134008" w:rsidP="00D10708">
      <w:pPr>
        <w:jc w:val="both"/>
        <w:rPr>
          <w:lang w:val="en-GB"/>
        </w:rPr>
      </w:pPr>
      <w:r>
        <w:rPr>
          <w:lang w:val="en-GB"/>
        </w:rPr>
        <w:t>Slovakia</w:t>
      </w:r>
      <w:r w:rsidR="00B83644" w:rsidRPr="00FD426B">
        <w:rPr>
          <w:lang w:val="en-GB"/>
        </w:rPr>
        <w:t xml:space="preserve"> supported ten </w:t>
      </w:r>
      <w:r>
        <w:rPr>
          <w:lang w:val="en-GB"/>
        </w:rPr>
        <w:t>related</w:t>
      </w:r>
      <w:r w:rsidR="00B83644" w:rsidRPr="00FD426B">
        <w:rPr>
          <w:lang w:val="en-GB"/>
        </w:rPr>
        <w:t xml:space="preserve"> recommendation</w:t>
      </w:r>
      <w:r w:rsidR="00BE33A4" w:rsidRPr="00FD426B">
        <w:rPr>
          <w:lang w:val="en-GB"/>
        </w:rPr>
        <w:t>s</w:t>
      </w:r>
      <w:r w:rsidR="00B83644" w:rsidRPr="00FD426B">
        <w:rPr>
          <w:lang w:val="en-GB"/>
        </w:rPr>
        <w:t xml:space="preserve"> </w:t>
      </w:r>
      <w:r>
        <w:rPr>
          <w:lang w:val="en-GB"/>
        </w:rPr>
        <w:t xml:space="preserve">at its 2019 UPR, notably </w:t>
      </w:r>
      <w:r w:rsidR="00BE33A4" w:rsidRPr="00FD426B">
        <w:rPr>
          <w:color w:val="000000"/>
          <w:lang w:val="en-GB"/>
        </w:rPr>
        <w:t>to c</w:t>
      </w:r>
      <w:r w:rsidR="00BE33A4" w:rsidRPr="00AA29BC">
        <w:rPr>
          <w:color w:val="000000"/>
          <w:lang w:val="en-US"/>
        </w:rPr>
        <w:t>omplete the legislative procedures required to ensure full complian</w:t>
      </w:r>
      <w:r>
        <w:rPr>
          <w:color w:val="000000"/>
          <w:lang w:val="en-US"/>
        </w:rPr>
        <w:t xml:space="preserve">ce of its NHRI </w:t>
      </w:r>
      <w:r w:rsidR="00BE33A4" w:rsidRPr="00AA29BC">
        <w:rPr>
          <w:color w:val="000000"/>
          <w:lang w:val="en-US"/>
        </w:rPr>
        <w:t>with the Paris Principles</w:t>
      </w:r>
      <w:r w:rsidR="00D10708" w:rsidRPr="00FD426B">
        <w:rPr>
          <w:color w:val="000000"/>
          <w:lang w:val="en-GB"/>
        </w:rPr>
        <w:t xml:space="preserve"> </w:t>
      </w:r>
      <w:r w:rsidR="00BE33A4" w:rsidRPr="00AA29BC">
        <w:rPr>
          <w:color w:val="000000"/>
          <w:lang w:val="en-US"/>
        </w:rPr>
        <w:t>without further delay</w:t>
      </w:r>
      <w:r>
        <w:rPr>
          <w:color w:val="000000"/>
          <w:lang w:val="en-US"/>
        </w:rPr>
        <w:t xml:space="preserve"> as well as </w:t>
      </w:r>
      <w:r w:rsidR="00BE33A4" w:rsidRPr="00FD426B">
        <w:rPr>
          <w:color w:val="000000"/>
          <w:lang w:val="en-GB"/>
        </w:rPr>
        <w:t>to e</w:t>
      </w:r>
      <w:r w:rsidR="00BE33A4" w:rsidRPr="008C7AE0">
        <w:rPr>
          <w:color w:val="000000"/>
          <w:lang w:val="en-US"/>
        </w:rPr>
        <w:t xml:space="preserve">nsure the independence of the institution of the Commissioner for Children </w:t>
      </w:r>
      <w:r w:rsidR="00BE33A4" w:rsidRPr="00FD426B">
        <w:rPr>
          <w:bCs/>
          <w:color w:val="000000"/>
          <w:lang w:val="en-GB"/>
        </w:rPr>
        <w:t>(</w:t>
      </w:r>
      <w:hyperlink r:id="rId25" w:history="1">
        <w:r w:rsidR="00BE33A4" w:rsidRPr="008C7AE0">
          <w:rPr>
            <w:rStyle w:val="Hyperlink"/>
            <w:lang w:val="en-US"/>
          </w:rPr>
          <w:t>A/HRC/41/13/Add.1</w:t>
        </w:r>
      </w:hyperlink>
      <w:r w:rsidR="005130D0">
        <w:rPr>
          <w:rStyle w:val="Hyperlink"/>
          <w:lang w:val="en-US"/>
        </w:rPr>
        <w:t>,</w:t>
      </w:r>
      <w:r w:rsidR="00BE33A4" w:rsidRPr="00FD426B">
        <w:rPr>
          <w:lang w:val="en-GB"/>
        </w:rPr>
        <w:t xml:space="preserve"> para 3)</w:t>
      </w:r>
      <w:r>
        <w:rPr>
          <w:lang w:val="en-GB"/>
        </w:rPr>
        <w:t xml:space="preserve">. </w:t>
      </w:r>
    </w:p>
    <w:p w14:paraId="1E3E45C2" w14:textId="6BAE3D99" w:rsidR="000C59F4" w:rsidRDefault="000C59F4" w:rsidP="00D10708">
      <w:pPr>
        <w:jc w:val="both"/>
        <w:rPr>
          <w:lang w:val="en-GB"/>
        </w:rPr>
      </w:pPr>
    </w:p>
    <w:p w14:paraId="73D7A5BE" w14:textId="030354BC" w:rsidR="000C59F4" w:rsidRPr="00FD426B" w:rsidRDefault="00134008" w:rsidP="000C59F4">
      <w:pPr>
        <w:jc w:val="both"/>
        <w:rPr>
          <w:lang w:val="en-GB"/>
        </w:rPr>
      </w:pPr>
      <w:r>
        <w:rPr>
          <w:lang w:val="en-US"/>
        </w:rPr>
        <w:t xml:space="preserve">In its 2018 concluding observations, the CERD </w:t>
      </w:r>
      <w:r w:rsidR="00B41E48">
        <w:rPr>
          <w:lang w:val="en-US"/>
        </w:rPr>
        <w:t xml:space="preserve">also reiterated its previous recommendation that  Slovakia take </w:t>
      </w:r>
      <w:r w:rsidR="00B41E48" w:rsidRPr="008C7AE0">
        <w:rPr>
          <w:lang w:val="en-US"/>
        </w:rPr>
        <w:t>all necessary measures to accelerate the establishment of an independent monitoring mechanism to investigate crimes involving police officers</w:t>
      </w:r>
      <w:r w:rsidR="00B41E48">
        <w:rPr>
          <w:lang w:val="en-US"/>
        </w:rPr>
        <w:t xml:space="preserve">, considering </w:t>
      </w:r>
      <w:r w:rsidR="000C59F4" w:rsidRPr="008C7AE0">
        <w:rPr>
          <w:lang w:val="en-US"/>
        </w:rPr>
        <w:t>numerous reports of excessive</w:t>
      </w:r>
      <w:r>
        <w:rPr>
          <w:lang w:val="en-US"/>
        </w:rPr>
        <w:t xml:space="preserve"> use of force and ill-treatment</w:t>
      </w:r>
      <w:r w:rsidR="000C59F4" w:rsidRPr="008C7AE0">
        <w:rPr>
          <w:lang w:val="en-US"/>
        </w:rPr>
        <w:t xml:space="preserve"> by law enforcement officers against ethnic minorities, in particular Roma</w:t>
      </w:r>
      <w:r w:rsidR="00B41E48">
        <w:rPr>
          <w:lang w:val="en-US"/>
        </w:rPr>
        <w:t>, and that the majority of these reports we</w:t>
      </w:r>
      <w:r w:rsidR="000C59F4" w:rsidRPr="008C7AE0">
        <w:rPr>
          <w:lang w:val="en-US"/>
        </w:rPr>
        <w:t>re either not duly investigated, or when investigations ha</w:t>
      </w:r>
      <w:r w:rsidR="00B41E48">
        <w:rPr>
          <w:lang w:val="en-US"/>
        </w:rPr>
        <w:t>d</w:t>
      </w:r>
      <w:r w:rsidR="000C59F4" w:rsidRPr="008C7AE0">
        <w:rPr>
          <w:lang w:val="en-US"/>
        </w:rPr>
        <w:t xml:space="preserve"> been initiated they ha</w:t>
      </w:r>
      <w:r w:rsidR="00B41E48">
        <w:rPr>
          <w:lang w:val="en-US"/>
        </w:rPr>
        <w:t>d</w:t>
      </w:r>
      <w:r w:rsidR="000C59F4" w:rsidRPr="008C7AE0">
        <w:rPr>
          <w:lang w:val="en-US"/>
        </w:rPr>
        <w:t xml:space="preserve"> been suspended, and most complaints against law enforcement officers ha</w:t>
      </w:r>
      <w:r w:rsidR="00B41E48">
        <w:rPr>
          <w:lang w:val="en-US"/>
        </w:rPr>
        <w:t>d</w:t>
      </w:r>
      <w:r w:rsidR="005130D0">
        <w:rPr>
          <w:lang w:val="en-US"/>
        </w:rPr>
        <w:t xml:space="preserve"> been dismissed </w:t>
      </w:r>
      <w:r w:rsidR="000C59F4" w:rsidRPr="00FD426B">
        <w:rPr>
          <w:lang w:val="en-GB"/>
        </w:rPr>
        <w:t>(</w:t>
      </w:r>
      <w:hyperlink r:id="rId26" w:history="1">
        <w:r w:rsidR="000C59F4" w:rsidRPr="008C7AE0">
          <w:rPr>
            <w:rStyle w:val="Hyperlink"/>
            <w:lang w:val="en-US"/>
          </w:rPr>
          <w:t>CERD/C/SVK/CO/11-12</w:t>
        </w:r>
      </w:hyperlink>
      <w:r w:rsidR="005130D0">
        <w:rPr>
          <w:rStyle w:val="Hyperlink"/>
          <w:lang w:val="en-US"/>
        </w:rPr>
        <w:t>,</w:t>
      </w:r>
      <w:r w:rsidR="000C59F4" w:rsidRPr="00FD426B">
        <w:rPr>
          <w:lang w:val="en-GB"/>
        </w:rPr>
        <w:t xml:space="preserve"> para 15,16)</w:t>
      </w:r>
      <w:r w:rsidR="005130D0">
        <w:rPr>
          <w:lang w:val="en-GB"/>
        </w:rPr>
        <w:t>.</w:t>
      </w:r>
    </w:p>
    <w:p w14:paraId="167E081A" w14:textId="77777777" w:rsidR="000C59F4" w:rsidRPr="00FD426B" w:rsidRDefault="000C59F4" w:rsidP="00D10708">
      <w:pPr>
        <w:jc w:val="both"/>
        <w:rPr>
          <w:color w:val="000000"/>
          <w:lang w:val="en-GB"/>
        </w:rPr>
      </w:pPr>
    </w:p>
    <w:p w14:paraId="21ECE0A8" w14:textId="77777777" w:rsidR="00D84A2F" w:rsidRPr="00FD426B" w:rsidRDefault="00D84A2F" w:rsidP="00BB67D7">
      <w:pPr>
        <w:jc w:val="both"/>
        <w:rPr>
          <w:rFonts w:eastAsia="Calibri"/>
          <w:lang w:val="en-US"/>
        </w:rPr>
      </w:pPr>
    </w:p>
    <w:p w14:paraId="25A79266" w14:textId="06F316C2" w:rsidR="001B7CA2" w:rsidRPr="00FD426B" w:rsidRDefault="001B7CA2" w:rsidP="001B7CA2">
      <w:pPr>
        <w:rPr>
          <w:lang w:val="en-GB"/>
        </w:rPr>
      </w:pPr>
      <w:r w:rsidRPr="00FD426B">
        <w:rPr>
          <w:b/>
          <w:bCs/>
          <w:i/>
          <w:iCs/>
          <w:lang w:val="en-GB"/>
        </w:rPr>
        <w:t xml:space="preserve">C. Accessibility and judicial review of administrative decisions </w:t>
      </w:r>
    </w:p>
    <w:p w14:paraId="28A8155E" w14:textId="3F9C8C7D" w:rsidR="001B7CA2" w:rsidRPr="00FD426B" w:rsidRDefault="001B7CA2" w:rsidP="001B7CA2">
      <w:pPr>
        <w:rPr>
          <w:i/>
          <w:iCs/>
          <w:lang w:val="en-GB"/>
        </w:rPr>
      </w:pPr>
      <w:r w:rsidRPr="00FD426B">
        <w:rPr>
          <w:i/>
          <w:iCs/>
          <w:lang w:val="en-GB"/>
        </w:rPr>
        <w:t xml:space="preserve">43. Transparency of administrative decisions and sanctions (incl. their publication and rules on collection of related data) and judicial review (incl. scope, suspensive effect) </w:t>
      </w:r>
    </w:p>
    <w:p w14:paraId="73C67E0F" w14:textId="326D3459" w:rsidR="00654181" w:rsidRDefault="00654181" w:rsidP="001B7CA2">
      <w:pPr>
        <w:rPr>
          <w:i/>
          <w:iCs/>
          <w:lang w:val="en-GB"/>
        </w:rPr>
      </w:pPr>
    </w:p>
    <w:p w14:paraId="5BEDB57E" w14:textId="0574181D" w:rsidR="003F4910" w:rsidRPr="0080495D" w:rsidRDefault="00B41E48" w:rsidP="003F4910">
      <w:pPr>
        <w:jc w:val="both"/>
        <w:rPr>
          <w:lang w:val="en-US"/>
        </w:rPr>
      </w:pPr>
      <w:r>
        <w:rPr>
          <w:lang w:val="en-US"/>
        </w:rPr>
        <w:t xml:space="preserve">In their concluding observations in 2018 and 2019, the UN </w:t>
      </w:r>
      <w:r w:rsidRPr="00384323">
        <w:rPr>
          <w:lang w:val="en-US"/>
        </w:rPr>
        <w:t>Committee for the Elimination of Rac</w:t>
      </w:r>
      <w:r>
        <w:rPr>
          <w:lang w:val="en-US"/>
        </w:rPr>
        <w:t xml:space="preserve">ial </w:t>
      </w:r>
      <w:r w:rsidR="009E31C8">
        <w:rPr>
          <w:lang/>
        </w:rPr>
        <w:t xml:space="preserve">Discrimination </w:t>
      </w:r>
      <w:r>
        <w:rPr>
          <w:lang w:val="en-US"/>
        </w:rPr>
        <w:t>and the UN</w:t>
      </w:r>
      <w:r w:rsidR="003F4910" w:rsidRPr="00384323">
        <w:rPr>
          <w:lang w:val="en-GB"/>
        </w:rPr>
        <w:t xml:space="preserve"> Committee on Economic, Social and Cultural Rights expressed </w:t>
      </w:r>
      <w:r>
        <w:rPr>
          <w:lang w:val="en-US"/>
        </w:rPr>
        <w:t>concern about</w:t>
      </w:r>
      <w:r w:rsidR="003F4910" w:rsidRPr="00AA29BC">
        <w:rPr>
          <w:lang w:val="en-US"/>
        </w:rPr>
        <w:t xml:space="preserve"> forc</w:t>
      </w:r>
      <w:r>
        <w:rPr>
          <w:lang w:val="en-US"/>
        </w:rPr>
        <w:t xml:space="preserve">ed sterilization of Roma women and </w:t>
      </w:r>
      <w:r w:rsidR="003F4910" w:rsidRPr="00AA29BC">
        <w:rPr>
          <w:lang w:val="en-US"/>
        </w:rPr>
        <w:t xml:space="preserve">the absence of adequate access to remedy for victims. The </w:t>
      </w:r>
      <w:r>
        <w:rPr>
          <w:lang w:val="en-US"/>
        </w:rPr>
        <w:t xml:space="preserve">CERD noted Slovakia’s information about measures adopted to prevent </w:t>
      </w:r>
      <w:r w:rsidRPr="00AA29BC">
        <w:rPr>
          <w:lang w:val="en-US"/>
        </w:rPr>
        <w:t>forced sterilization and to provide compensation to victims</w:t>
      </w:r>
      <w:r>
        <w:rPr>
          <w:lang w:val="en-US"/>
        </w:rPr>
        <w:t xml:space="preserve"> but was concerned that </w:t>
      </w:r>
      <w:r w:rsidRPr="00AA29BC">
        <w:rPr>
          <w:lang w:val="en-US"/>
        </w:rPr>
        <w:t>access to justice, reparation and compensation remain</w:t>
      </w:r>
      <w:r w:rsidRPr="00384323">
        <w:rPr>
          <w:lang w:val="en-GB"/>
        </w:rPr>
        <w:t>ed</w:t>
      </w:r>
      <w:r w:rsidRPr="00AA29BC">
        <w:rPr>
          <w:lang w:val="en-US"/>
        </w:rPr>
        <w:t xml:space="preserve"> difficult for Roma women who ha</w:t>
      </w:r>
      <w:r>
        <w:rPr>
          <w:lang w:val="en-US"/>
        </w:rPr>
        <w:t>d</w:t>
      </w:r>
      <w:r w:rsidRPr="00AA29BC">
        <w:rPr>
          <w:lang w:val="en-US"/>
        </w:rPr>
        <w:t xml:space="preserve"> been subjected to forced sterilization</w:t>
      </w:r>
      <w:r>
        <w:rPr>
          <w:lang w:val="en-US"/>
        </w:rPr>
        <w:t xml:space="preserve">. It </w:t>
      </w:r>
      <w:r w:rsidRPr="00AA29BC">
        <w:rPr>
          <w:lang w:val="en-US"/>
        </w:rPr>
        <w:t>urge</w:t>
      </w:r>
      <w:r w:rsidRPr="00384323">
        <w:rPr>
          <w:lang w:val="en-GB"/>
        </w:rPr>
        <w:t>d</w:t>
      </w:r>
      <w:r w:rsidRPr="00AA29BC">
        <w:rPr>
          <w:lang w:val="en-US"/>
        </w:rPr>
        <w:t xml:space="preserve"> </w:t>
      </w:r>
      <w:r>
        <w:rPr>
          <w:lang w:val="en-US"/>
        </w:rPr>
        <w:t>Slovakia</w:t>
      </w:r>
      <w:r w:rsidRPr="00AA29BC">
        <w:rPr>
          <w:lang w:val="en-US"/>
        </w:rPr>
        <w:t xml:space="preserve"> to</w:t>
      </w:r>
      <w:r w:rsidRPr="00384323">
        <w:rPr>
          <w:lang w:val="en-GB"/>
        </w:rPr>
        <w:t xml:space="preserve"> inter alia ensure</w:t>
      </w:r>
      <w:r w:rsidRPr="00AA29BC">
        <w:rPr>
          <w:lang w:val="en-US"/>
        </w:rPr>
        <w:t xml:space="preserve"> that Roma women who were victims of sterilization wi</w:t>
      </w:r>
      <w:r>
        <w:rPr>
          <w:lang w:val="en-US"/>
        </w:rPr>
        <w:t>thout their informed consent had</w:t>
      </w:r>
      <w:r w:rsidRPr="00AA29BC">
        <w:rPr>
          <w:lang w:val="en-US"/>
        </w:rPr>
        <w:t xml:space="preserve"> access to effective remedies and adequate compensation, that perpetrators </w:t>
      </w:r>
      <w:r>
        <w:rPr>
          <w:lang w:val="en-US"/>
        </w:rPr>
        <w:t xml:space="preserve">be </w:t>
      </w:r>
      <w:r w:rsidRPr="00AA29BC">
        <w:rPr>
          <w:lang w:val="en-US"/>
        </w:rPr>
        <w:t xml:space="preserve">brought to justice, and that legislation and regulations on informed consent in situations of sterilization </w:t>
      </w:r>
      <w:r>
        <w:rPr>
          <w:lang w:val="en-US"/>
        </w:rPr>
        <w:t>be</w:t>
      </w:r>
      <w:r w:rsidRPr="00AA29BC">
        <w:rPr>
          <w:lang w:val="en-US"/>
        </w:rPr>
        <w:t xml:space="preserve"> enforced effectively</w:t>
      </w:r>
      <w:r>
        <w:rPr>
          <w:lang w:val="en-US"/>
        </w:rPr>
        <w:t>. The CESCR Committee further recommended Slovakia should</w:t>
      </w:r>
      <w:r w:rsidR="003F4910" w:rsidRPr="00384323">
        <w:rPr>
          <w:lang w:val="en-GB"/>
        </w:rPr>
        <w:t xml:space="preserve"> e</w:t>
      </w:r>
      <w:r w:rsidR="003F4910" w:rsidRPr="00AA29BC">
        <w:rPr>
          <w:lang w:val="en-US"/>
        </w:rPr>
        <w:t>nsure full, independent and transparent investigation into occurrences of forced sterilization of Roma women, including the complicity of any State officials, applying disciplinary and criminal sanctions where warranted</w:t>
      </w:r>
      <w:r w:rsidR="005130D0">
        <w:rPr>
          <w:lang w:val="en-GB"/>
        </w:rPr>
        <w:t xml:space="preserve"> </w:t>
      </w:r>
      <w:r w:rsidR="003F4910" w:rsidRPr="00384323">
        <w:rPr>
          <w:lang w:val="en-US"/>
        </w:rPr>
        <w:t>(</w:t>
      </w:r>
      <w:hyperlink r:id="rId27" w:history="1">
        <w:r w:rsidRPr="0080495D">
          <w:rPr>
            <w:rStyle w:val="Hyperlink"/>
            <w:lang w:val="en-US"/>
          </w:rPr>
          <w:t>CERD/C/SVK/CO/11-12</w:t>
        </w:r>
      </w:hyperlink>
      <w:r>
        <w:rPr>
          <w:lang w:val="en-US"/>
        </w:rPr>
        <w:t>,</w:t>
      </w:r>
      <w:r>
        <w:rPr>
          <w:lang w:val="en-GB"/>
        </w:rPr>
        <w:t xml:space="preserve"> para</w:t>
      </w:r>
      <w:r w:rsidRPr="00384323">
        <w:rPr>
          <w:lang w:val="en-GB"/>
        </w:rPr>
        <w:t xml:space="preserve"> 23,</w:t>
      </w:r>
      <w:r>
        <w:rPr>
          <w:lang w:val="en-GB"/>
        </w:rPr>
        <w:t xml:space="preserve"> </w:t>
      </w:r>
      <w:r w:rsidRPr="00384323">
        <w:rPr>
          <w:lang w:val="en-GB"/>
        </w:rPr>
        <w:t>24</w:t>
      </w:r>
      <w:r>
        <w:rPr>
          <w:lang w:val="en-GB"/>
        </w:rPr>
        <w:t xml:space="preserve">; </w:t>
      </w:r>
      <w:hyperlink r:id="rId28" w:history="1">
        <w:r w:rsidR="003F4910" w:rsidRPr="00384323">
          <w:rPr>
            <w:rStyle w:val="Hyperlink"/>
            <w:lang w:val="en-US"/>
          </w:rPr>
          <w:t>E/C.12/SVK/CO/3</w:t>
        </w:r>
      </w:hyperlink>
      <w:r w:rsidR="003F4910">
        <w:rPr>
          <w:lang w:val="en-US"/>
        </w:rPr>
        <w:t>, para</w:t>
      </w:r>
      <w:r w:rsidR="003F4910" w:rsidRPr="00384323">
        <w:rPr>
          <w:lang w:val="en-US"/>
        </w:rPr>
        <w:t xml:space="preserve"> 44, 45)</w:t>
      </w:r>
    </w:p>
    <w:p w14:paraId="227DFC59" w14:textId="77777777" w:rsidR="003F4910" w:rsidRPr="00FD426B" w:rsidRDefault="003F4910" w:rsidP="001B7CA2">
      <w:pPr>
        <w:rPr>
          <w:i/>
          <w:iCs/>
          <w:lang w:val="en-GB"/>
        </w:rPr>
      </w:pPr>
    </w:p>
    <w:p w14:paraId="4B94A15B" w14:textId="27C66A02" w:rsidR="001340FD" w:rsidRPr="008C7AE0" w:rsidRDefault="0080495D" w:rsidP="001340FD">
      <w:pPr>
        <w:jc w:val="both"/>
        <w:rPr>
          <w:lang w:val="en-US"/>
        </w:rPr>
      </w:pPr>
      <w:r>
        <w:rPr>
          <w:lang w:val="en-US"/>
        </w:rPr>
        <w:t>I</w:t>
      </w:r>
      <w:r>
        <w:rPr>
          <w:lang w:val="en-GB"/>
        </w:rPr>
        <w:t xml:space="preserve">n its </w:t>
      </w:r>
      <w:r w:rsidRPr="00FD426B">
        <w:rPr>
          <w:lang w:val="en-GB"/>
        </w:rPr>
        <w:t>2019 concluding observations</w:t>
      </w:r>
      <w:r>
        <w:rPr>
          <w:lang w:val="en-GB"/>
        </w:rPr>
        <w:t xml:space="preserve">, </w:t>
      </w:r>
      <w:r w:rsidR="001340FD" w:rsidRPr="00FD426B">
        <w:rPr>
          <w:lang w:val="en-GB"/>
        </w:rPr>
        <w:t>the Committee o</w:t>
      </w:r>
      <w:r w:rsidR="009E31C8">
        <w:rPr>
          <w:lang/>
        </w:rPr>
        <w:t>n</w:t>
      </w:r>
      <w:r w:rsidR="001340FD" w:rsidRPr="00FD426B">
        <w:rPr>
          <w:lang w:val="en-GB"/>
        </w:rPr>
        <w:t xml:space="preserve"> Enforced Disappearances noted </w:t>
      </w:r>
      <w:r w:rsidR="001340FD" w:rsidRPr="00AA29BC">
        <w:rPr>
          <w:lang w:val="en-US"/>
        </w:rPr>
        <w:t xml:space="preserve">with concern that the definition of “close person” contained in section 116 of the Civil Code, provided by </w:t>
      </w:r>
      <w:r>
        <w:rPr>
          <w:lang w:val="en-US"/>
        </w:rPr>
        <w:t>Slovakia</w:t>
      </w:r>
      <w:r w:rsidR="001340FD" w:rsidRPr="00AA29BC">
        <w:rPr>
          <w:lang w:val="en-US"/>
        </w:rPr>
        <w:t xml:space="preserve"> to make reference to the persons who could have</w:t>
      </w:r>
      <w:r>
        <w:rPr>
          <w:lang w:val="en-US"/>
        </w:rPr>
        <w:t xml:space="preserve"> a legitimate interest in</w:t>
      </w:r>
      <w:r w:rsidR="001340FD" w:rsidRPr="00AA29BC">
        <w:rPr>
          <w:lang w:val="en-US"/>
        </w:rPr>
        <w:t xml:space="preserve"> </w:t>
      </w:r>
      <w:r>
        <w:rPr>
          <w:lang w:val="en-US"/>
        </w:rPr>
        <w:t xml:space="preserve">having </w:t>
      </w:r>
      <w:r w:rsidR="001340FD" w:rsidRPr="00AA29BC">
        <w:rPr>
          <w:lang w:val="en-US"/>
        </w:rPr>
        <w:t>access to information under the terms of article 18 of the Convention</w:t>
      </w:r>
      <w:r w:rsidR="001912D0" w:rsidRPr="00AA29BC">
        <w:rPr>
          <w:lang w:val="en-US"/>
        </w:rPr>
        <w:t xml:space="preserve"> for the Protection of All Persons from Enforced Disappearance</w:t>
      </w:r>
      <w:r w:rsidR="001340FD" w:rsidRPr="00AA29BC">
        <w:rPr>
          <w:lang w:val="en-US"/>
        </w:rPr>
        <w:t xml:space="preserve">, is restrictive and that the requirement for persons, other than direct relatives, to be considered “close” may be difficult to demonstrate. </w:t>
      </w:r>
      <w:r>
        <w:rPr>
          <w:lang w:val="en-US"/>
        </w:rPr>
        <w:t xml:space="preserve">While noting </w:t>
      </w:r>
      <w:r w:rsidR="001340FD" w:rsidRPr="00AA29BC">
        <w:rPr>
          <w:lang w:val="en-US"/>
        </w:rPr>
        <w:t xml:space="preserve">with interest the affirmation by </w:t>
      </w:r>
      <w:r>
        <w:rPr>
          <w:lang w:val="en-US"/>
        </w:rPr>
        <w:t>Slovakia</w:t>
      </w:r>
      <w:r w:rsidR="001340FD" w:rsidRPr="00AA29BC">
        <w:rPr>
          <w:lang w:val="en-US"/>
        </w:rPr>
        <w:t xml:space="preserve"> that, in practice, persons deprived of liberty can communicate with close persons and that their choice is not questioned by the relevant authorities</w:t>
      </w:r>
      <w:r>
        <w:rPr>
          <w:lang w:val="en-US"/>
        </w:rPr>
        <w:t xml:space="preserve">, </w:t>
      </w:r>
      <w:r w:rsidR="00A8595F">
        <w:rPr>
          <w:lang/>
        </w:rPr>
        <w:t>t</w:t>
      </w:r>
      <w:r w:rsidR="001340FD" w:rsidRPr="00AA29BC">
        <w:rPr>
          <w:lang w:val="en-US"/>
        </w:rPr>
        <w:t xml:space="preserve">he Committee </w:t>
      </w:r>
      <w:r>
        <w:rPr>
          <w:lang w:val="en-GB"/>
        </w:rPr>
        <w:t xml:space="preserve">recommended Slovakia to </w:t>
      </w:r>
      <w:r w:rsidR="001340FD" w:rsidRPr="00AA29BC">
        <w:rPr>
          <w:lang w:val="en-US"/>
        </w:rPr>
        <w:t xml:space="preserve">take the measures necessary to ensure </w:t>
      </w:r>
      <w:r w:rsidR="001340FD" w:rsidRPr="00AA29BC">
        <w:rPr>
          <w:lang w:val="en-US"/>
        </w:rPr>
        <w:lastRenderedPageBreak/>
        <w:t>that any person with a legitimate interest can have prompt and easy access to, at least, the information stipulated in article 18 (1) of the Convention. In addition, the Committee encourag</w:t>
      </w:r>
      <w:r w:rsidR="001340FD" w:rsidRPr="00FD426B">
        <w:rPr>
          <w:lang w:val="en-GB"/>
        </w:rPr>
        <w:t>ed</w:t>
      </w:r>
      <w:r w:rsidR="001340FD" w:rsidRPr="00AA29BC">
        <w:rPr>
          <w:lang w:val="en-US"/>
        </w:rPr>
        <w:t xml:space="preserve"> </w:t>
      </w:r>
      <w:r>
        <w:rPr>
          <w:lang w:val="en-US"/>
        </w:rPr>
        <w:t>Slovakia</w:t>
      </w:r>
      <w:r w:rsidR="001340FD" w:rsidRPr="00AA29BC">
        <w:rPr>
          <w:lang w:val="en-US"/>
        </w:rPr>
        <w:t xml:space="preserve"> to review its definition of “close person” so as to bring it into line with a</w:t>
      </w:r>
      <w:r w:rsidR="005130D0">
        <w:rPr>
          <w:lang w:val="en-US"/>
        </w:rPr>
        <w:t>rticle 18 (1) of the Convention (</w:t>
      </w:r>
      <w:hyperlink r:id="rId29" w:history="1">
        <w:r w:rsidR="001340FD" w:rsidRPr="008C7AE0">
          <w:rPr>
            <w:rStyle w:val="Hyperlink"/>
            <w:lang w:val="en-US"/>
          </w:rPr>
          <w:t>CED/C/SVK/CO/1</w:t>
        </w:r>
      </w:hyperlink>
      <w:r w:rsidR="001912D0" w:rsidRPr="008C7AE0">
        <w:rPr>
          <w:rStyle w:val="Hyperlink"/>
          <w:lang w:val="en-US"/>
        </w:rPr>
        <w:t>,</w:t>
      </w:r>
      <w:r w:rsidR="001340FD" w:rsidRPr="00FD426B">
        <w:rPr>
          <w:lang w:val="en-GB"/>
        </w:rPr>
        <w:t xml:space="preserve"> paras 20,21)</w:t>
      </w:r>
      <w:r w:rsidR="005130D0">
        <w:rPr>
          <w:lang w:val="en-GB"/>
        </w:rPr>
        <w:t>.</w:t>
      </w:r>
      <w:bookmarkStart w:id="0" w:name="_GoBack"/>
      <w:bookmarkEnd w:id="0"/>
    </w:p>
    <w:p w14:paraId="26087381" w14:textId="77777777" w:rsidR="00654181" w:rsidRPr="00FD426B" w:rsidRDefault="00654181" w:rsidP="001B7CA2">
      <w:pPr>
        <w:rPr>
          <w:lang w:val="en-GB"/>
        </w:rPr>
      </w:pPr>
    </w:p>
    <w:p w14:paraId="53488779" w14:textId="2F63D561" w:rsidR="001B7CA2" w:rsidRPr="00FD426B" w:rsidRDefault="001B7CA2" w:rsidP="001B7CA2">
      <w:pPr>
        <w:rPr>
          <w:lang w:val="en-GB"/>
        </w:rPr>
      </w:pPr>
      <w:r w:rsidRPr="00FD426B">
        <w:rPr>
          <w:i/>
          <w:iCs/>
          <w:lang w:val="en-GB"/>
        </w:rPr>
        <w:t xml:space="preserve">44. Implementation by the public administration and State institutions of final court decisions </w:t>
      </w:r>
    </w:p>
    <w:p w14:paraId="32CD971C" w14:textId="77777777" w:rsidR="00C84205" w:rsidRPr="00FD426B" w:rsidRDefault="00C84205" w:rsidP="001B7CA2">
      <w:pPr>
        <w:rPr>
          <w:b/>
          <w:bCs/>
          <w:i/>
          <w:iCs/>
          <w:lang w:val="en-GB"/>
        </w:rPr>
      </w:pPr>
    </w:p>
    <w:p w14:paraId="2081FC02" w14:textId="47F23AFB" w:rsidR="001B7CA2" w:rsidRPr="00FD426B" w:rsidRDefault="001B7CA2" w:rsidP="001B7CA2">
      <w:pPr>
        <w:rPr>
          <w:lang w:val="en-GB"/>
        </w:rPr>
      </w:pPr>
      <w:r w:rsidRPr="00FD426B">
        <w:rPr>
          <w:b/>
          <w:bCs/>
          <w:i/>
          <w:iCs/>
          <w:lang w:val="en-GB"/>
        </w:rPr>
        <w:t xml:space="preserve">D. The enabling framework for civil society </w:t>
      </w:r>
    </w:p>
    <w:p w14:paraId="35ADA468" w14:textId="77777777" w:rsidR="001B7CA2" w:rsidRPr="00FD426B" w:rsidRDefault="001B7CA2" w:rsidP="001B7CA2">
      <w:pPr>
        <w:rPr>
          <w:lang w:val="en-GB"/>
        </w:rPr>
      </w:pPr>
      <w:r w:rsidRPr="00FD426B">
        <w:rPr>
          <w:i/>
          <w:iCs/>
          <w:lang w:val="en-GB"/>
        </w:rPr>
        <w:t xml:space="preserve">45. Measures regarding the framework for civil society organisations (e.g. access to funding, registration rules, measures capable of affecting the public perception of civil society organisations, etc.) </w:t>
      </w:r>
    </w:p>
    <w:p w14:paraId="4C8E5407" w14:textId="77777777" w:rsidR="00C84205" w:rsidRPr="00FD426B" w:rsidRDefault="00C84205" w:rsidP="001B7CA2">
      <w:pPr>
        <w:rPr>
          <w:b/>
          <w:bCs/>
          <w:i/>
          <w:iCs/>
          <w:lang w:val="en-GB"/>
        </w:rPr>
      </w:pPr>
    </w:p>
    <w:p w14:paraId="6188EECA" w14:textId="142AE48B" w:rsidR="001B7CA2" w:rsidRPr="00FD426B" w:rsidRDefault="001B7CA2" w:rsidP="001B7CA2">
      <w:pPr>
        <w:rPr>
          <w:lang w:val="en-GB"/>
        </w:rPr>
      </w:pPr>
      <w:r w:rsidRPr="00FD426B">
        <w:rPr>
          <w:b/>
          <w:bCs/>
          <w:i/>
          <w:iCs/>
          <w:lang w:val="en-GB"/>
        </w:rPr>
        <w:t xml:space="preserve">E. Initiatives to foster a rule of law culture </w:t>
      </w:r>
    </w:p>
    <w:p w14:paraId="5D3DA062" w14:textId="372604EC" w:rsidR="001B7CA2" w:rsidRPr="00FD426B" w:rsidRDefault="001B7CA2" w:rsidP="001B7CA2">
      <w:pPr>
        <w:rPr>
          <w:i/>
          <w:iCs/>
          <w:lang w:val="en-GB"/>
        </w:rPr>
      </w:pPr>
      <w:r w:rsidRPr="00FD426B">
        <w:rPr>
          <w:i/>
          <w:iCs/>
          <w:lang w:val="en-GB"/>
        </w:rPr>
        <w:t xml:space="preserve">46. Measures to foster a rule of law culture (e.g. debates in national parliaments on the rule of law, public information campaigns on rule of law issues, etc.) </w:t>
      </w:r>
    </w:p>
    <w:p w14:paraId="47EF46CE" w14:textId="77777777" w:rsidR="00210EDA" w:rsidRPr="00FD426B" w:rsidRDefault="00210EDA" w:rsidP="001B7CA2">
      <w:pPr>
        <w:rPr>
          <w:lang w:val="en-GB"/>
        </w:rPr>
      </w:pPr>
    </w:p>
    <w:p w14:paraId="203ECA1D" w14:textId="0A71F048" w:rsidR="001B7CA2" w:rsidRPr="00FD426B" w:rsidRDefault="001B7CA2" w:rsidP="001B7CA2">
      <w:pPr>
        <w:rPr>
          <w:b/>
          <w:bCs/>
          <w:i/>
          <w:iCs/>
        </w:rPr>
      </w:pPr>
      <w:r w:rsidRPr="00FD426B">
        <w:rPr>
          <w:b/>
          <w:bCs/>
          <w:i/>
          <w:iCs/>
        </w:rPr>
        <w:t>Other – please specify</w:t>
      </w:r>
    </w:p>
    <w:p w14:paraId="501BB99F" w14:textId="52ACDCD5" w:rsidR="000F11CA" w:rsidRPr="00FD426B" w:rsidRDefault="000F11CA" w:rsidP="001B7CA2">
      <w:pPr>
        <w:rPr>
          <w:b/>
          <w:bCs/>
          <w:i/>
          <w:iCs/>
        </w:rPr>
      </w:pPr>
    </w:p>
    <w:p w14:paraId="4155D851" w14:textId="6C9060E6" w:rsidR="00561033" w:rsidRPr="00FD426B" w:rsidRDefault="00561033" w:rsidP="00561033">
      <w:pPr>
        <w:jc w:val="both"/>
        <w:rPr>
          <w:lang w:val="en-US"/>
        </w:rPr>
      </w:pPr>
      <w:r w:rsidRPr="00FD426B">
        <w:rPr>
          <w:lang w:val="en-US"/>
        </w:rPr>
        <w:t xml:space="preserve">  </w:t>
      </w:r>
    </w:p>
    <w:p w14:paraId="3170F293" w14:textId="77777777" w:rsidR="008C7A94" w:rsidRPr="00FD426B" w:rsidRDefault="008C7A94" w:rsidP="00E7579B">
      <w:pPr>
        <w:jc w:val="both"/>
        <w:rPr>
          <w:rFonts w:eastAsia="Calibri"/>
          <w:lang w:val="en-GB"/>
        </w:rPr>
      </w:pPr>
    </w:p>
    <w:sectPr w:rsidR="008C7A94" w:rsidRPr="00FD426B">
      <w:footerReference w:type="default" r:id="rId30"/>
      <w:endnotePr>
        <w:numFmt w:val="decimal"/>
      </w:endnote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0BFC44" w14:textId="77777777" w:rsidR="00D0085D" w:rsidRDefault="00D0085D" w:rsidP="00AB6BD8">
      <w:r>
        <w:separator/>
      </w:r>
    </w:p>
  </w:endnote>
  <w:endnote w:type="continuationSeparator" w:id="0">
    <w:p w14:paraId="6108FAC8" w14:textId="77777777" w:rsidR="00D0085D" w:rsidRDefault="00D0085D" w:rsidP="00AB6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187566"/>
      <w:docPartObj>
        <w:docPartGallery w:val="Page Numbers (Bottom of Page)"/>
        <w:docPartUnique/>
      </w:docPartObj>
    </w:sdtPr>
    <w:sdtEndPr/>
    <w:sdtContent>
      <w:p w14:paraId="0500433A" w14:textId="6DAF78EF" w:rsidR="00F7669D" w:rsidRDefault="00F7669D">
        <w:pPr>
          <w:pStyle w:val="Footer"/>
          <w:jc w:val="center"/>
        </w:pPr>
        <w:r>
          <w:fldChar w:fldCharType="begin"/>
        </w:r>
        <w:r>
          <w:instrText>PAGE   \* MERGEFORMAT</w:instrText>
        </w:r>
        <w:r>
          <w:fldChar w:fldCharType="separate"/>
        </w:r>
        <w:r w:rsidR="005130D0" w:rsidRPr="005130D0">
          <w:rPr>
            <w:noProof/>
            <w:lang w:val="fr-FR"/>
          </w:rPr>
          <w:t>2</w:t>
        </w:r>
        <w:r>
          <w:fldChar w:fldCharType="end"/>
        </w:r>
      </w:p>
    </w:sdtContent>
  </w:sdt>
  <w:p w14:paraId="1E65FFBB" w14:textId="77777777" w:rsidR="00F7669D" w:rsidRDefault="00F766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C653AD" w14:textId="77777777" w:rsidR="00D0085D" w:rsidRDefault="00D0085D" w:rsidP="00AB6BD8">
      <w:r>
        <w:separator/>
      </w:r>
    </w:p>
  </w:footnote>
  <w:footnote w:type="continuationSeparator" w:id="0">
    <w:p w14:paraId="24C350A7" w14:textId="77777777" w:rsidR="00D0085D" w:rsidRDefault="00D0085D" w:rsidP="00AB6B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62051"/>
    <w:multiLevelType w:val="hybridMultilevel"/>
    <w:tmpl w:val="7E120C9A"/>
    <w:lvl w:ilvl="0" w:tplc="1C52E36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B224C5"/>
    <w:multiLevelType w:val="hybridMultilevel"/>
    <w:tmpl w:val="8BB2CF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C10D56"/>
    <w:multiLevelType w:val="hybridMultilevel"/>
    <w:tmpl w:val="9ED494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71386F"/>
    <w:multiLevelType w:val="hybridMultilevel"/>
    <w:tmpl w:val="7F542AC4"/>
    <w:lvl w:ilvl="0" w:tplc="080C000B">
      <w:start w:val="1"/>
      <w:numFmt w:val="bullet"/>
      <w:lvlText w:val=""/>
      <w:lvlJc w:val="left"/>
      <w:pPr>
        <w:ind w:left="630" w:hanging="360"/>
      </w:pPr>
      <w:rPr>
        <w:rFonts w:ascii="Wingdings" w:hAnsi="Wingdings" w:hint="default"/>
      </w:rPr>
    </w:lvl>
    <w:lvl w:ilvl="1" w:tplc="080C0003" w:tentative="1">
      <w:start w:val="1"/>
      <w:numFmt w:val="bullet"/>
      <w:lvlText w:val="o"/>
      <w:lvlJc w:val="left"/>
      <w:pPr>
        <w:ind w:left="1350" w:hanging="360"/>
      </w:pPr>
      <w:rPr>
        <w:rFonts w:ascii="Courier New" w:hAnsi="Courier New" w:cs="Courier New" w:hint="default"/>
      </w:rPr>
    </w:lvl>
    <w:lvl w:ilvl="2" w:tplc="080C0005" w:tentative="1">
      <w:start w:val="1"/>
      <w:numFmt w:val="bullet"/>
      <w:lvlText w:val=""/>
      <w:lvlJc w:val="left"/>
      <w:pPr>
        <w:ind w:left="2070" w:hanging="360"/>
      </w:pPr>
      <w:rPr>
        <w:rFonts w:ascii="Wingdings" w:hAnsi="Wingdings" w:hint="default"/>
      </w:rPr>
    </w:lvl>
    <w:lvl w:ilvl="3" w:tplc="080C0001" w:tentative="1">
      <w:start w:val="1"/>
      <w:numFmt w:val="bullet"/>
      <w:lvlText w:val=""/>
      <w:lvlJc w:val="left"/>
      <w:pPr>
        <w:ind w:left="2790" w:hanging="360"/>
      </w:pPr>
      <w:rPr>
        <w:rFonts w:ascii="Symbol" w:hAnsi="Symbol" w:hint="default"/>
      </w:rPr>
    </w:lvl>
    <w:lvl w:ilvl="4" w:tplc="080C0003" w:tentative="1">
      <w:start w:val="1"/>
      <w:numFmt w:val="bullet"/>
      <w:lvlText w:val="o"/>
      <w:lvlJc w:val="left"/>
      <w:pPr>
        <w:ind w:left="3510" w:hanging="360"/>
      </w:pPr>
      <w:rPr>
        <w:rFonts w:ascii="Courier New" w:hAnsi="Courier New" w:cs="Courier New" w:hint="default"/>
      </w:rPr>
    </w:lvl>
    <w:lvl w:ilvl="5" w:tplc="080C0005" w:tentative="1">
      <w:start w:val="1"/>
      <w:numFmt w:val="bullet"/>
      <w:lvlText w:val=""/>
      <w:lvlJc w:val="left"/>
      <w:pPr>
        <w:ind w:left="4230" w:hanging="360"/>
      </w:pPr>
      <w:rPr>
        <w:rFonts w:ascii="Wingdings" w:hAnsi="Wingdings" w:hint="default"/>
      </w:rPr>
    </w:lvl>
    <w:lvl w:ilvl="6" w:tplc="080C0001" w:tentative="1">
      <w:start w:val="1"/>
      <w:numFmt w:val="bullet"/>
      <w:lvlText w:val=""/>
      <w:lvlJc w:val="left"/>
      <w:pPr>
        <w:ind w:left="4950" w:hanging="360"/>
      </w:pPr>
      <w:rPr>
        <w:rFonts w:ascii="Symbol" w:hAnsi="Symbol" w:hint="default"/>
      </w:rPr>
    </w:lvl>
    <w:lvl w:ilvl="7" w:tplc="080C0003" w:tentative="1">
      <w:start w:val="1"/>
      <w:numFmt w:val="bullet"/>
      <w:lvlText w:val="o"/>
      <w:lvlJc w:val="left"/>
      <w:pPr>
        <w:ind w:left="5670" w:hanging="360"/>
      </w:pPr>
      <w:rPr>
        <w:rFonts w:ascii="Courier New" w:hAnsi="Courier New" w:cs="Courier New" w:hint="default"/>
      </w:rPr>
    </w:lvl>
    <w:lvl w:ilvl="8" w:tplc="080C0005" w:tentative="1">
      <w:start w:val="1"/>
      <w:numFmt w:val="bullet"/>
      <w:lvlText w:val=""/>
      <w:lvlJc w:val="left"/>
      <w:pPr>
        <w:ind w:left="6390" w:hanging="360"/>
      </w:pPr>
      <w:rPr>
        <w:rFonts w:ascii="Wingdings" w:hAnsi="Wingdings" w:hint="default"/>
      </w:rPr>
    </w:lvl>
  </w:abstractNum>
  <w:abstractNum w:abstractNumId="4" w15:restartNumberingAfterBreak="0">
    <w:nsid w:val="5629327A"/>
    <w:multiLevelType w:val="hybridMultilevel"/>
    <w:tmpl w:val="C18CA3C6"/>
    <w:lvl w:ilvl="0" w:tplc="9B86EA64">
      <w:start w:val="1"/>
      <w:numFmt w:val="upperRoman"/>
      <w:lvlText w:val="%1."/>
      <w:lvlJc w:val="left"/>
      <w:pPr>
        <w:ind w:left="2844" w:hanging="720"/>
      </w:pPr>
      <w:rPr>
        <w:rFonts w:hint="default"/>
      </w:rPr>
    </w:lvl>
    <w:lvl w:ilvl="1" w:tplc="080C0019" w:tentative="1">
      <w:start w:val="1"/>
      <w:numFmt w:val="lowerLetter"/>
      <w:lvlText w:val="%2."/>
      <w:lvlJc w:val="left"/>
      <w:pPr>
        <w:ind w:left="3204" w:hanging="360"/>
      </w:pPr>
    </w:lvl>
    <w:lvl w:ilvl="2" w:tplc="080C001B" w:tentative="1">
      <w:start w:val="1"/>
      <w:numFmt w:val="lowerRoman"/>
      <w:lvlText w:val="%3."/>
      <w:lvlJc w:val="right"/>
      <w:pPr>
        <w:ind w:left="3924" w:hanging="180"/>
      </w:pPr>
    </w:lvl>
    <w:lvl w:ilvl="3" w:tplc="080C000F" w:tentative="1">
      <w:start w:val="1"/>
      <w:numFmt w:val="decimal"/>
      <w:lvlText w:val="%4."/>
      <w:lvlJc w:val="left"/>
      <w:pPr>
        <w:ind w:left="4644" w:hanging="360"/>
      </w:pPr>
    </w:lvl>
    <w:lvl w:ilvl="4" w:tplc="080C0019" w:tentative="1">
      <w:start w:val="1"/>
      <w:numFmt w:val="lowerLetter"/>
      <w:lvlText w:val="%5."/>
      <w:lvlJc w:val="left"/>
      <w:pPr>
        <w:ind w:left="5364" w:hanging="360"/>
      </w:pPr>
    </w:lvl>
    <w:lvl w:ilvl="5" w:tplc="080C001B" w:tentative="1">
      <w:start w:val="1"/>
      <w:numFmt w:val="lowerRoman"/>
      <w:lvlText w:val="%6."/>
      <w:lvlJc w:val="right"/>
      <w:pPr>
        <w:ind w:left="6084" w:hanging="180"/>
      </w:pPr>
    </w:lvl>
    <w:lvl w:ilvl="6" w:tplc="080C000F" w:tentative="1">
      <w:start w:val="1"/>
      <w:numFmt w:val="decimal"/>
      <w:lvlText w:val="%7."/>
      <w:lvlJc w:val="left"/>
      <w:pPr>
        <w:ind w:left="6804" w:hanging="360"/>
      </w:pPr>
    </w:lvl>
    <w:lvl w:ilvl="7" w:tplc="080C0019" w:tentative="1">
      <w:start w:val="1"/>
      <w:numFmt w:val="lowerLetter"/>
      <w:lvlText w:val="%8."/>
      <w:lvlJc w:val="left"/>
      <w:pPr>
        <w:ind w:left="7524" w:hanging="360"/>
      </w:pPr>
    </w:lvl>
    <w:lvl w:ilvl="8" w:tplc="080C001B" w:tentative="1">
      <w:start w:val="1"/>
      <w:numFmt w:val="lowerRoman"/>
      <w:lvlText w:val="%9."/>
      <w:lvlJc w:val="right"/>
      <w:pPr>
        <w:ind w:left="8244" w:hanging="180"/>
      </w:pPr>
    </w:lvl>
  </w:abstractNum>
  <w:abstractNum w:abstractNumId="5" w15:restartNumberingAfterBreak="0">
    <w:nsid w:val="6FE8771B"/>
    <w:multiLevelType w:val="hybridMultilevel"/>
    <w:tmpl w:val="C7409BE2"/>
    <w:lvl w:ilvl="0" w:tplc="2E90BA4E">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78871BF9"/>
    <w:multiLevelType w:val="hybridMultilevel"/>
    <w:tmpl w:val="D214F8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1"/>
  </w:num>
  <w:num w:numId="5">
    <w:abstractNumId w:val="0"/>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AU"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fr-BE"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79B"/>
    <w:rsid w:val="0000519B"/>
    <w:rsid w:val="00016229"/>
    <w:rsid w:val="00024911"/>
    <w:rsid w:val="00026E44"/>
    <w:rsid w:val="000313FF"/>
    <w:rsid w:val="000517C6"/>
    <w:rsid w:val="0006271F"/>
    <w:rsid w:val="0007072F"/>
    <w:rsid w:val="000722FF"/>
    <w:rsid w:val="00083AA7"/>
    <w:rsid w:val="00091686"/>
    <w:rsid w:val="00093E86"/>
    <w:rsid w:val="000C59F4"/>
    <w:rsid w:val="000E176D"/>
    <w:rsid w:val="000F11CA"/>
    <w:rsid w:val="000F74F4"/>
    <w:rsid w:val="00134008"/>
    <w:rsid w:val="001340FD"/>
    <w:rsid w:val="00137F92"/>
    <w:rsid w:val="001634C1"/>
    <w:rsid w:val="001912D0"/>
    <w:rsid w:val="00195595"/>
    <w:rsid w:val="001A5A53"/>
    <w:rsid w:val="001A671F"/>
    <w:rsid w:val="001B7CA2"/>
    <w:rsid w:val="001C60D8"/>
    <w:rsid w:val="001C79A2"/>
    <w:rsid w:val="001C7CCF"/>
    <w:rsid w:val="001E0DB5"/>
    <w:rsid w:val="001E78EF"/>
    <w:rsid w:val="001F2781"/>
    <w:rsid w:val="002057FA"/>
    <w:rsid w:val="00210EDA"/>
    <w:rsid w:val="00220900"/>
    <w:rsid w:val="00221C79"/>
    <w:rsid w:val="00251082"/>
    <w:rsid w:val="00251EAC"/>
    <w:rsid w:val="00275AE3"/>
    <w:rsid w:val="002817CA"/>
    <w:rsid w:val="002868DD"/>
    <w:rsid w:val="002A042B"/>
    <w:rsid w:val="002A3318"/>
    <w:rsid w:val="002C15AB"/>
    <w:rsid w:val="002C21E6"/>
    <w:rsid w:val="002D206F"/>
    <w:rsid w:val="002D45D1"/>
    <w:rsid w:val="002D5884"/>
    <w:rsid w:val="00302D80"/>
    <w:rsid w:val="0031111D"/>
    <w:rsid w:val="0033379B"/>
    <w:rsid w:val="00352AB5"/>
    <w:rsid w:val="00353297"/>
    <w:rsid w:val="00371FB5"/>
    <w:rsid w:val="00383787"/>
    <w:rsid w:val="00384323"/>
    <w:rsid w:val="00385F29"/>
    <w:rsid w:val="003C1CDB"/>
    <w:rsid w:val="003C6A15"/>
    <w:rsid w:val="003E119B"/>
    <w:rsid w:val="003F4910"/>
    <w:rsid w:val="00411017"/>
    <w:rsid w:val="004134CF"/>
    <w:rsid w:val="0041462A"/>
    <w:rsid w:val="00441155"/>
    <w:rsid w:val="00451BE5"/>
    <w:rsid w:val="00453DF4"/>
    <w:rsid w:val="004809CC"/>
    <w:rsid w:val="00482558"/>
    <w:rsid w:val="004A0573"/>
    <w:rsid w:val="004A4532"/>
    <w:rsid w:val="004E0EA0"/>
    <w:rsid w:val="00505636"/>
    <w:rsid w:val="005125F4"/>
    <w:rsid w:val="005130D0"/>
    <w:rsid w:val="00554903"/>
    <w:rsid w:val="00560D59"/>
    <w:rsid w:val="00561033"/>
    <w:rsid w:val="00567C31"/>
    <w:rsid w:val="00580DDF"/>
    <w:rsid w:val="005966D9"/>
    <w:rsid w:val="005B5EE5"/>
    <w:rsid w:val="005C24D9"/>
    <w:rsid w:val="005C6F10"/>
    <w:rsid w:val="005F4890"/>
    <w:rsid w:val="006069D7"/>
    <w:rsid w:val="006069DB"/>
    <w:rsid w:val="00621D7E"/>
    <w:rsid w:val="0062791A"/>
    <w:rsid w:val="00654181"/>
    <w:rsid w:val="0066480F"/>
    <w:rsid w:val="00667664"/>
    <w:rsid w:val="006717A5"/>
    <w:rsid w:val="006717DD"/>
    <w:rsid w:val="006A4C41"/>
    <w:rsid w:val="006B2FBD"/>
    <w:rsid w:val="006C2643"/>
    <w:rsid w:val="006D6C81"/>
    <w:rsid w:val="00700CD8"/>
    <w:rsid w:val="00710999"/>
    <w:rsid w:val="00713E1E"/>
    <w:rsid w:val="00736D2F"/>
    <w:rsid w:val="00753741"/>
    <w:rsid w:val="0077014E"/>
    <w:rsid w:val="00774C93"/>
    <w:rsid w:val="00786D22"/>
    <w:rsid w:val="007A5551"/>
    <w:rsid w:val="007B135C"/>
    <w:rsid w:val="007C4EB4"/>
    <w:rsid w:val="0080379C"/>
    <w:rsid w:val="0080495D"/>
    <w:rsid w:val="00812CA6"/>
    <w:rsid w:val="00815599"/>
    <w:rsid w:val="008237FE"/>
    <w:rsid w:val="0082427E"/>
    <w:rsid w:val="00824AEF"/>
    <w:rsid w:val="008470D2"/>
    <w:rsid w:val="008628EF"/>
    <w:rsid w:val="008657AC"/>
    <w:rsid w:val="00867498"/>
    <w:rsid w:val="008A1B74"/>
    <w:rsid w:val="008A5267"/>
    <w:rsid w:val="008A7229"/>
    <w:rsid w:val="008B5DE9"/>
    <w:rsid w:val="008C7A94"/>
    <w:rsid w:val="008C7AE0"/>
    <w:rsid w:val="008E379B"/>
    <w:rsid w:val="008E537C"/>
    <w:rsid w:val="008F5F0F"/>
    <w:rsid w:val="00916B8E"/>
    <w:rsid w:val="00922B2C"/>
    <w:rsid w:val="00967D65"/>
    <w:rsid w:val="00997215"/>
    <w:rsid w:val="009B7D07"/>
    <w:rsid w:val="009E31C8"/>
    <w:rsid w:val="00A42049"/>
    <w:rsid w:val="00A73B49"/>
    <w:rsid w:val="00A75337"/>
    <w:rsid w:val="00A8595F"/>
    <w:rsid w:val="00AA29BC"/>
    <w:rsid w:val="00AB4073"/>
    <w:rsid w:val="00AB6BD8"/>
    <w:rsid w:val="00AC523D"/>
    <w:rsid w:val="00B232FF"/>
    <w:rsid w:val="00B27F96"/>
    <w:rsid w:val="00B41E48"/>
    <w:rsid w:val="00B54E3F"/>
    <w:rsid w:val="00B579EE"/>
    <w:rsid w:val="00B669A0"/>
    <w:rsid w:val="00B83644"/>
    <w:rsid w:val="00B837B5"/>
    <w:rsid w:val="00B84B0A"/>
    <w:rsid w:val="00B878C7"/>
    <w:rsid w:val="00B92AC2"/>
    <w:rsid w:val="00B94426"/>
    <w:rsid w:val="00BB67D7"/>
    <w:rsid w:val="00BC1D9A"/>
    <w:rsid w:val="00BD392D"/>
    <w:rsid w:val="00BE33A4"/>
    <w:rsid w:val="00BF162E"/>
    <w:rsid w:val="00C34944"/>
    <w:rsid w:val="00C46DCD"/>
    <w:rsid w:val="00C50275"/>
    <w:rsid w:val="00C50880"/>
    <w:rsid w:val="00C51BBF"/>
    <w:rsid w:val="00C61D50"/>
    <w:rsid w:val="00C84205"/>
    <w:rsid w:val="00C8742E"/>
    <w:rsid w:val="00C971BE"/>
    <w:rsid w:val="00CC6B37"/>
    <w:rsid w:val="00CD1815"/>
    <w:rsid w:val="00CF698C"/>
    <w:rsid w:val="00D0085D"/>
    <w:rsid w:val="00D10708"/>
    <w:rsid w:val="00D554D4"/>
    <w:rsid w:val="00D77607"/>
    <w:rsid w:val="00D81C34"/>
    <w:rsid w:val="00D848D8"/>
    <w:rsid w:val="00D84A2F"/>
    <w:rsid w:val="00DA2342"/>
    <w:rsid w:val="00DB0A5B"/>
    <w:rsid w:val="00DE00F5"/>
    <w:rsid w:val="00E029A8"/>
    <w:rsid w:val="00E7579B"/>
    <w:rsid w:val="00E75F98"/>
    <w:rsid w:val="00E96D3A"/>
    <w:rsid w:val="00EA6672"/>
    <w:rsid w:val="00ED7F3B"/>
    <w:rsid w:val="00EF36D6"/>
    <w:rsid w:val="00EF4DF8"/>
    <w:rsid w:val="00F169FA"/>
    <w:rsid w:val="00F17304"/>
    <w:rsid w:val="00F26E2D"/>
    <w:rsid w:val="00F37ECC"/>
    <w:rsid w:val="00F6676D"/>
    <w:rsid w:val="00F7669D"/>
    <w:rsid w:val="00FB6475"/>
    <w:rsid w:val="00FC4DA3"/>
    <w:rsid w:val="00FD426B"/>
    <w:rsid w:val="00FD6734"/>
    <w:rsid w:val="00FE1807"/>
    <w:rsid w:val="00FF2683"/>
    <w:rsid w:val="00FF410C"/>
  </w:rsids>
  <m:mathPr>
    <m:mathFont m:val="Cambria Math"/>
    <m:brkBin m:val="before"/>
    <m:brkBinSub m:val="--"/>
    <m:smallFrac m:val="0"/>
    <m:dispDef/>
    <m:lMargin m:val="0"/>
    <m:rMargin m:val="0"/>
    <m:defJc m:val="centerGroup"/>
    <m:wrapIndent m:val="1440"/>
    <m:intLim m:val="subSup"/>
    <m:naryLim m:val="undOvr"/>
  </m:mathPr>
  <w:themeFontLang w:val="fr-B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C06DA"/>
  <w15:chartTrackingRefBased/>
  <w15:docId w15:val="{AC71498E-03E6-4E57-9D91-D8D5EF42D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E48"/>
    <w:pPr>
      <w:spacing w:after="0" w:line="240" w:lineRule="auto"/>
    </w:pPr>
    <w:rPr>
      <w:rFonts w:ascii="Times New Roman" w:eastAsia="Times New Roman" w:hAnsi="Times New Roman" w:cs="Times New Roman"/>
      <w:sz w:val="24"/>
      <w:szCs w:val="24"/>
      <w:lang w:eastAsia="en-GB"/>
    </w:rPr>
  </w:style>
  <w:style w:type="paragraph" w:styleId="Heading3">
    <w:name w:val="heading 3"/>
    <w:basedOn w:val="Normal"/>
    <w:link w:val="Heading3Char"/>
    <w:uiPriority w:val="9"/>
    <w:qFormat/>
    <w:rsid w:val="005F4890"/>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579B"/>
    <w:pPr>
      <w:spacing w:after="160" w:line="259" w:lineRule="auto"/>
      <w:ind w:left="720"/>
      <w:contextualSpacing/>
    </w:pPr>
    <w:rPr>
      <w:rFonts w:asciiTheme="minorHAnsi" w:eastAsiaTheme="minorHAnsi" w:hAnsiTheme="minorHAnsi" w:cstheme="minorBidi"/>
      <w:sz w:val="22"/>
      <w:szCs w:val="22"/>
      <w:lang w:eastAsia="en-US"/>
    </w:rPr>
  </w:style>
  <w:style w:type="character" w:styleId="Hyperlink">
    <w:name w:val="Hyperlink"/>
    <w:basedOn w:val="DefaultParagraphFont"/>
    <w:uiPriority w:val="99"/>
    <w:unhideWhenUsed/>
    <w:rsid w:val="004809CC"/>
    <w:rPr>
      <w:color w:val="0563C1" w:themeColor="hyperlink"/>
      <w:u w:val="single"/>
    </w:rPr>
  </w:style>
  <w:style w:type="character" w:customStyle="1" w:styleId="UnresolvedMention1">
    <w:name w:val="Unresolved Mention1"/>
    <w:basedOn w:val="DefaultParagraphFont"/>
    <w:uiPriority w:val="99"/>
    <w:semiHidden/>
    <w:unhideWhenUsed/>
    <w:rsid w:val="004809CC"/>
    <w:rPr>
      <w:color w:val="605E5C"/>
      <w:shd w:val="clear" w:color="auto" w:fill="E1DFDD"/>
    </w:rPr>
  </w:style>
  <w:style w:type="paragraph" w:styleId="FootnoteText">
    <w:name w:val="footnote text"/>
    <w:basedOn w:val="Normal"/>
    <w:link w:val="FootnoteTextChar"/>
    <w:uiPriority w:val="99"/>
    <w:semiHidden/>
    <w:unhideWhenUsed/>
    <w:rsid w:val="00AB6BD8"/>
    <w:rPr>
      <w:rFonts w:asciiTheme="minorHAnsi" w:eastAsiaTheme="minorHAnsi" w:hAnsiTheme="minorHAnsi" w:cstheme="minorBidi"/>
      <w:sz w:val="20"/>
      <w:szCs w:val="20"/>
      <w:lang w:eastAsia="en-US"/>
    </w:rPr>
  </w:style>
  <w:style w:type="character" w:customStyle="1" w:styleId="FootnoteTextChar">
    <w:name w:val="Footnote Text Char"/>
    <w:basedOn w:val="DefaultParagraphFont"/>
    <w:link w:val="FootnoteText"/>
    <w:uiPriority w:val="99"/>
    <w:semiHidden/>
    <w:rsid w:val="00AB6BD8"/>
    <w:rPr>
      <w:sz w:val="20"/>
      <w:szCs w:val="20"/>
    </w:rPr>
  </w:style>
  <w:style w:type="character" w:styleId="FootnoteReference">
    <w:name w:val="footnote reference"/>
    <w:basedOn w:val="DefaultParagraphFont"/>
    <w:uiPriority w:val="99"/>
    <w:semiHidden/>
    <w:unhideWhenUsed/>
    <w:rsid w:val="00AB6BD8"/>
    <w:rPr>
      <w:vertAlign w:val="superscript"/>
    </w:rPr>
  </w:style>
  <w:style w:type="paragraph" w:styleId="EndnoteText">
    <w:name w:val="endnote text"/>
    <w:basedOn w:val="Normal"/>
    <w:link w:val="EndnoteTextChar"/>
    <w:uiPriority w:val="99"/>
    <w:unhideWhenUsed/>
    <w:rsid w:val="000F74F4"/>
    <w:rPr>
      <w:rFonts w:asciiTheme="minorHAnsi" w:eastAsiaTheme="minorHAnsi" w:hAnsiTheme="minorHAnsi" w:cstheme="minorBidi"/>
      <w:sz w:val="20"/>
      <w:szCs w:val="20"/>
      <w:lang w:eastAsia="en-US"/>
    </w:rPr>
  </w:style>
  <w:style w:type="character" w:customStyle="1" w:styleId="EndnoteTextChar">
    <w:name w:val="Endnote Text Char"/>
    <w:basedOn w:val="DefaultParagraphFont"/>
    <w:link w:val="EndnoteText"/>
    <w:uiPriority w:val="99"/>
    <w:rsid w:val="000F74F4"/>
    <w:rPr>
      <w:sz w:val="20"/>
      <w:szCs w:val="20"/>
    </w:rPr>
  </w:style>
  <w:style w:type="character" w:styleId="EndnoteReference">
    <w:name w:val="endnote reference"/>
    <w:basedOn w:val="DefaultParagraphFont"/>
    <w:uiPriority w:val="99"/>
    <w:semiHidden/>
    <w:unhideWhenUsed/>
    <w:rsid w:val="000F74F4"/>
    <w:rPr>
      <w:vertAlign w:val="superscript"/>
    </w:rPr>
  </w:style>
  <w:style w:type="paragraph" w:styleId="Header">
    <w:name w:val="header"/>
    <w:basedOn w:val="Normal"/>
    <w:link w:val="HeaderChar"/>
    <w:uiPriority w:val="99"/>
    <w:unhideWhenUsed/>
    <w:rsid w:val="00997215"/>
    <w:pPr>
      <w:tabs>
        <w:tab w:val="center" w:pos="4536"/>
        <w:tab w:val="right" w:pos="9072"/>
      </w:tabs>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uiPriority w:val="99"/>
    <w:rsid w:val="00997215"/>
  </w:style>
  <w:style w:type="paragraph" w:styleId="Footer">
    <w:name w:val="footer"/>
    <w:basedOn w:val="Normal"/>
    <w:link w:val="FooterChar"/>
    <w:uiPriority w:val="99"/>
    <w:unhideWhenUsed/>
    <w:rsid w:val="00997215"/>
    <w:pPr>
      <w:tabs>
        <w:tab w:val="center" w:pos="4536"/>
        <w:tab w:val="right" w:pos="9072"/>
      </w:tabs>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997215"/>
  </w:style>
  <w:style w:type="character" w:styleId="FollowedHyperlink">
    <w:name w:val="FollowedHyperlink"/>
    <w:basedOn w:val="DefaultParagraphFont"/>
    <w:uiPriority w:val="99"/>
    <w:semiHidden/>
    <w:unhideWhenUsed/>
    <w:rsid w:val="008A1B74"/>
    <w:rPr>
      <w:color w:val="954F72" w:themeColor="followedHyperlink"/>
      <w:u w:val="single"/>
    </w:rPr>
  </w:style>
  <w:style w:type="paragraph" w:styleId="NormalWeb">
    <w:name w:val="Normal (Web)"/>
    <w:basedOn w:val="Normal"/>
    <w:uiPriority w:val="99"/>
    <w:unhideWhenUsed/>
    <w:rsid w:val="00CC6B37"/>
    <w:pPr>
      <w:spacing w:before="100" w:beforeAutospacing="1" w:after="100" w:afterAutospacing="1"/>
    </w:pPr>
    <w:rPr>
      <w:lang w:val="en-US" w:eastAsia="en-US"/>
    </w:rPr>
  </w:style>
  <w:style w:type="character" w:styleId="CommentReference">
    <w:name w:val="annotation reference"/>
    <w:basedOn w:val="DefaultParagraphFont"/>
    <w:uiPriority w:val="99"/>
    <w:semiHidden/>
    <w:unhideWhenUsed/>
    <w:rsid w:val="00815599"/>
    <w:rPr>
      <w:sz w:val="16"/>
      <w:szCs w:val="16"/>
    </w:rPr>
  </w:style>
  <w:style w:type="paragraph" w:styleId="CommentText">
    <w:name w:val="annotation text"/>
    <w:basedOn w:val="Normal"/>
    <w:link w:val="CommentTextChar"/>
    <w:uiPriority w:val="99"/>
    <w:semiHidden/>
    <w:unhideWhenUsed/>
    <w:rsid w:val="00815599"/>
    <w:pPr>
      <w:spacing w:after="160"/>
    </w:pPr>
    <w:rPr>
      <w:rFonts w:asciiTheme="minorHAnsi" w:eastAsiaTheme="minorHAnsi" w:hAnsiTheme="minorHAnsi" w:cstheme="minorBidi"/>
      <w:sz w:val="20"/>
      <w:szCs w:val="20"/>
      <w:lang w:eastAsia="en-US"/>
    </w:rPr>
  </w:style>
  <w:style w:type="character" w:customStyle="1" w:styleId="CommentTextChar">
    <w:name w:val="Comment Text Char"/>
    <w:basedOn w:val="DefaultParagraphFont"/>
    <w:link w:val="CommentText"/>
    <w:uiPriority w:val="99"/>
    <w:semiHidden/>
    <w:rsid w:val="00815599"/>
    <w:rPr>
      <w:sz w:val="20"/>
      <w:szCs w:val="20"/>
    </w:rPr>
  </w:style>
  <w:style w:type="paragraph" w:styleId="CommentSubject">
    <w:name w:val="annotation subject"/>
    <w:basedOn w:val="CommentText"/>
    <w:next w:val="CommentText"/>
    <w:link w:val="CommentSubjectChar"/>
    <w:uiPriority w:val="99"/>
    <w:semiHidden/>
    <w:unhideWhenUsed/>
    <w:rsid w:val="00815599"/>
    <w:rPr>
      <w:b/>
      <w:bCs/>
    </w:rPr>
  </w:style>
  <w:style w:type="character" w:customStyle="1" w:styleId="CommentSubjectChar">
    <w:name w:val="Comment Subject Char"/>
    <w:basedOn w:val="CommentTextChar"/>
    <w:link w:val="CommentSubject"/>
    <w:uiPriority w:val="99"/>
    <w:semiHidden/>
    <w:rsid w:val="00815599"/>
    <w:rPr>
      <w:b/>
      <w:bCs/>
      <w:sz w:val="20"/>
      <w:szCs w:val="20"/>
    </w:rPr>
  </w:style>
  <w:style w:type="paragraph" w:styleId="BalloonText">
    <w:name w:val="Balloon Text"/>
    <w:basedOn w:val="Normal"/>
    <w:link w:val="BalloonTextChar"/>
    <w:uiPriority w:val="99"/>
    <w:semiHidden/>
    <w:unhideWhenUsed/>
    <w:rsid w:val="00815599"/>
    <w:rPr>
      <w:rFonts w:ascii="Segoe UI" w:eastAsiaTheme="minorHAnsi" w:hAnsi="Segoe UI" w:cs="Segoe UI"/>
      <w:sz w:val="18"/>
      <w:szCs w:val="18"/>
      <w:lang w:eastAsia="en-US"/>
    </w:rPr>
  </w:style>
  <w:style w:type="character" w:customStyle="1" w:styleId="BalloonTextChar">
    <w:name w:val="Balloon Text Char"/>
    <w:basedOn w:val="DefaultParagraphFont"/>
    <w:link w:val="BalloonText"/>
    <w:uiPriority w:val="99"/>
    <w:semiHidden/>
    <w:rsid w:val="00815599"/>
    <w:rPr>
      <w:rFonts w:ascii="Segoe UI" w:hAnsi="Segoe UI" w:cs="Segoe UI"/>
      <w:sz w:val="18"/>
      <w:szCs w:val="18"/>
    </w:rPr>
  </w:style>
  <w:style w:type="character" w:customStyle="1" w:styleId="UnresolvedMention2">
    <w:name w:val="Unresolved Mention2"/>
    <w:basedOn w:val="DefaultParagraphFont"/>
    <w:uiPriority w:val="99"/>
    <w:semiHidden/>
    <w:unhideWhenUsed/>
    <w:rsid w:val="00710999"/>
    <w:rPr>
      <w:color w:val="605E5C"/>
      <w:shd w:val="clear" w:color="auto" w:fill="E1DFDD"/>
    </w:rPr>
  </w:style>
  <w:style w:type="character" w:customStyle="1" w:styleId="Heading3Char">
    <w:name w:val="Heading 3 Char"/>
    <w:basedOn w:val="DefaultParagraphFont"/>
    <w:link w:val="Heading3"/>
    <w:uiPriority w:val="9"/>
    <w:rsid w:val="005F4890"/>
    <w:rPr>
      <w:rFonts w:ascii="Times New Roman" w:eastAsia="Times New Roman" w:hAnsi="Times New Roman" w:cs="Times New Roman"/>
      <w:b/>
      <w:bCs/>
      <w:sz w:val="27"/>
      <w:szCs w:val="27"/>
      <w:lang w:eastAsia="en-GB"/>
    </w:rPr>
  </w:style>
  <w:style w:type="paragraph" w:customStyle="1" w:styleId="merged-reco">
    <w:name w:val="merged-reco"/>
    <w:basedOn w:val="Normal"/>
    <w:rsid w:val="005F4890"/>
    <w:pPr>
      <w:spacing w:before="100" w:beforeAutospacing="1" w:after="100" w:afterAutospacing="1"/>
    </w:pPr>
  </w:style>
  <w:style w:type="character" w:styleId="Strong">
    <w:name w:val="Strong"/>
    <w:basedOn w:val="DefaultParagraphFont"/>
    <w:uiPriority w:val="22"/>
    <w:qFormat/>
    <w:rsid w:val="005F4890"/>
    <w:rPr>
      <w:b/>
      <w:bCs/>
    </w:rPr>
  </w:style>
  <w:style w:type="paragraph" w:customStyle="1" w:styleId="SingleTxtG">
    <w:name w:val="_ Single Txt_G"/>
    <w:basedOn w:val="Normal"/>
    <w:link w:val="SingleTxtGChar"/>
    <w:qFormat/>
    <w:rsid w:val="00C50275"/>
    <w:pPr>
      <w:suppressAutoHyphens/>
      <w:spacing w:after="120" w:line="240" w:lineRule="atLeast"/>
      <w:ind w:left="1134" w:right="1134"/>
      <w:jc w:val="both"/>
    </w:pPr>
    <w:rPr>
      <w:rFonts w:eastAsia="SimSun"/>
      <w:sz w:val="20"/>
      <w:szCs w:val="20"/>
      <w:lang w:val="en-GB" w:eastAsia="zh-CN"/>
    </w:rPr>
  </w:style>
  <w:style w:type="character" w:customStyle="1" w:styleId="SingleTxtGChar">
    <w:name w:val="_ Single Txt_G Char"/>
    <w:basedOn w:val="DefaultParagraphFont"/>
    <w:link w:val="SingleTxtG"/>
    <w:rsid w:val="00C50275"/>
    <w:rPr>
      <w:rFonts w:ascii="Times New Roman" w:eastAsia="SimSun" w:hAnsi="Times New Roman" w:cs="Times New Roman"/>
      <w:sz w:val="20"/>
      <w:szCs w:val="20"/>
      <w:lang w:val="en-GB" w:eastAsia="zh-CN"/>
    </w:rPr>
  </w:style>
  <w:style w:type="paragraph" w:customStyle="1" w:styleId="H23G">
    <w:name w:val="_ H_2/3_G"/>
    <w:basedOn w:val="Normal"/>
    <w:next w:val="Normal"/>
    <w:qFormat/>
    <w:rsid w:val="00D84A2F"/>
    <w:pPr>
      <w:keepNext/>
      <w:keepLines/>
      <w:tabs>
        <w:tab w:val="right" w:pos="851"/>
      </w:tabs>
      <w:spacing w:before="240" w:after="120" w:line="240" w:lineRule="exact"/>
      <w:ind w:left="1134" w:right="1134" w:hanging="1134"/>
    </w:pPr>
    <w:rPr>
      <w:rFonts w:eastAsia="SimSun"/>
      <w:b/>
      <w:sz w:val="20"/>
      <w:szCs w:val="20"/>
      <w:lang w:val="en-GB" w:eastAsia="zh-CN"/>
    </w:rPr>
  </w:style>
  <w:style w:type="paragraph" w:styleId="NoSpacing">
    <w:name w:val="No Spacing"/>
    <w:uiPriority w:val="1"/>
    <w:qFormat/>
    <w:rsid w:val="0033379B"/>
    <w:pPr>
      <w:spacing w:after="0" w:line="240" w:lineRule="auto"/>
    </w:pPr>
    <w:rPr>
      <w:rFonts w:ascii="Times New Roman" w:eastAsia="Times New Roman" w:hAnsi="Times New Roman" w:cs="Times New Roman"/>
      <w:sz w:val="24"/>
      <w:szCs w:val="24"/>
      <w:lang w:eastAsia="en-GB"/>
    </w:rPr>
  </w:style>
  <w:style w:type="paragraph" w:customStyle="1" w:styleId="H1G">
    <w:name w:val="_ H_1_G"/>
    <w:basedOn w:val="Normal"/>
    <w:next w:val="Normal"/>
    <w:rsid w:val="00C8742E"/>
    <w:pPr>
      <w:keepNext/>
      <w:keepLines/>
      <w:tabs>
        <w:tab w:val="right" w:pos="851"/>
      </w:tabs>
      <w:suppressAutoHyphens/>
      <w:spacing w:before="360" w:after="240" w:line="270" w:lineRule="exact"/>
      <w:ind w:left="1134" w:right="1134" w:hanging="1134"/>
    </w:pPr>
    <w:rPr>
      <w:b/>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10030">
      <w:bodyDiv w:val="1"/>
      <w:marLeft w:val="0"/>
      <w:marRight w:val="0"/>
      <w:marTop w:val="0"/>
      <w:marBottom w:val="0"/>
      <w:divBdr>
        <w:top w:val="none" w:sz="0" w:space="0" w:color="auto"/>
        <w:left w:val="none" w:sz="0" w:space="0" w:color="auto"/>
        <w:bottom w:val="none" w:sz="0" w:space="0" w:color="auto"/>
        <w:right w:val="none" w:sz="0" w:space="0" w:color="auto"/>
      </w:divBdr>
    </w:div>
    <w:div w:id="49695554">
      <w:bodyDiv w:val="1"/>
      <w:marLeft w:val="0"/>
      <w:marRight w:val="0"/>
      <w:marTop w:val="0"/>
      <w:marBottom w:val="0"/>
      <w:divBdr>
        <w:top w:val="none" w:sz="0" w:space="0" w:color="auto"/>
        <w:left w:val="none" w:sz="0" w:space="0" w:color="auto"/>
        <w:bottom w:val="none" w:sz="0" w:space="0" w:color="auto"/>
        <w:right w:val="none" w:sz="0" w:space="0" w:color="auto"/>
      </w:divBdr>
    </w:div>
    <w:div w:id="151990960">
      <w:bodyDiv w:val="1"/>
      <w:marLeft w:val="0"/>
      <w:marRight w:val="0"/>
      <w:marTop w:val="0"/>
      <w:marBottom w:val="0"/>
      <w:divBdr>
        <w:top w:val="none" w:sz="0" w:space="0" w:color="auto"/>
        <w:left w:val="none" w:sz="0" w:space="0" w:color="auto"/>
        <w:bottom w:val="none" w:sz="0" w:space="0" w:color="auto"/>
        <w:right w:val="none" w:sz="0" w:space="0" w:color="auto"/>
      </w:divBdr>
    </w:div>
    <w:div w:id="216087216">
      <w:bodyDiv w:val="1"/>
      <w:marLeft w:val="0"/>
      <w:marRight w:val="0"/>
      <w:marTop w:val="0"/>
      <w:marBottom w:val="0"/>
      <w:divBdr>
        <w:top w:val="none" w:sz="0" w:space="0" w:color="auto"/>
        <w:left w:val="none" w:sz="0" w:space="0" w:color="auto"/>
        <w:bottom w:val="none" w:sz="0" w:space="0" w:color="auto"/>
        <w:right w:val="none" w:sz="0" w:space="0" w:color="auto"/>
      </w:divBdr>
    </w:div>
    <w:div w:id="323045474">
      <w:bodyDiv w:val="1"/>
      <w:marLeft w:val="0"/>
      <w:marRight w:val="0"/>
      <w:marTop w:val="0"/>
      <w:marBottom w:val="0"/>
      <w:divBdr>
        <w:top w:val="none" w:sz="0" w:space="0" w:color="auto"/>
        <w:left w:val="none" w:sz="0" w:space="0" w:color="auto"/>
        <w:bottom w:val="none" w:sz="0" w:space="0" w:color="auto"/>
        <w:right w:val="none" w:sz="0" w:space="0" w:color="auto"/>
      </w:divBdr>
    </w:div>
    <w:div w:id="443961541">
      <w:bodyDiv w:val="1"/>
      <w:marLeft w:val="0"/>
      <w:marRight w:val="0"/>
      <w:marTop w:val="0"/>
      <w:marBottom w:val="0"/>
      <w:divBdr>
        <w:top w:val="none" w:sz="0" w:space="0" w:color="auto"/>
        <w:left w:val="none" w:sz="0" w:space="0" w:color="auto"/>
        <w:bottom w:val="none" w:sz="0" w:space="0" w:color="auto"/>
        <w:right w:val="none" w:sz="0" w:space="0" w:color="auto"/>
      </w:divBdr>
    </w:div>
    <w:div w:id="528446562">
      <w:bodyDiv w:val="1"/>
      <w:marLeft w:val="0"/>
      <w:marRight w:val="0"/>
      <w:marTop w:val="0"/>
      <w:marBottom w:val="0"/>
      <w:divBdr>
        <w:top w:val="none" w:sz="0" w:space="0" w:color="auto"/>
        <w:left w:val="none" w:sz="0" w:space="0" w:color="auto"/>
        <w:bottom w:val="none" w:sz="0" w:space="0" w:color="auto"/>
        <w:right w:val="none" w:sz="0" w:space="0" w:color="auto"/>
      </w:divBdr>
    </w:div>
    <w:div w:id="615716113">
      <w:bodyDiv w:val="1"/>
      <w:marLeft w:val="0"/>
      <w:marRight w:val="0"/>
      <w:marTop w:val="0"/>
      <w:marBottom w:val="0"/>
      <w:divBdr>
        <w:top w:val="none" w:sz="0" w:space="0" w:color="auto"/>
        <w:left w:val="none" w:sz="0" w:space="0" w:color="auto"/>
        <w:bottom w:val="none" w:sz="0" w:space="0" w:color="auto"/>
        <w:right w:val="none" w:sz="0" w:space="0" w:color="auto"/>
      </w:divBdr>
    </w:div>
    <w:div w:id="710495123">
      <w:bodyDiv w:val="1"/>
      <w:marLeft w:val="0"/>
      <w:marRight w:val="0"/>
      <w:marTop w:val="0"/>
      <w:marBottom w:val="0"/>
      <w:divBdr>
        <w:top w:val="none" w:sz="0" w:space="0" w:color="auto"/>
        <w:left w:val="none" w:sz="0" w:space="0" w:color="auto"/>
        <w:bottom w:val="none" w:sz="0" w:space="0" w:color="auto"/>
        <w:right w:val="none" w:sz="0" w:space="0" w:color="auto"/>
      </w:divBdr>
    </w:div>
    <w:div w:id="743644171">
      <w:bodyDiv w:val="1"/>
      <w:marLeft w:val="0"/>
      <w:marRight w:val="0"/>
      <w:marTop w:val="0"/>
      <w:marBottom w:val="0"/>
      <w:divBdr>
        <w:top w:val="none" w:sz="0" w:space="0" w:color="auto"/>
        <w:left w:val="none" w:sz="0" w:space="0" w:color="auto"/>
        <w:bottom w:val="none" w:sz="0" w:space="0" w:color="auto"/>
        <w:right w:val="none" w:sz="0" w:space="0" w:color="auto"/>
      </w:divBdr>
    </w:div>
    <w:div w:id="799108904">
      <w:bodyDiv w:val="1"/>
      <w:marLeft w:val="0"/>
      <w:marRight w:val="0"/>
      <w:marTop w:val="0"/>
      <w:marBottom w:val="0"/>
      <w:divBdr>
        <w:top w:val="none" w:sz="0" w:space="0" w:color="auto"/>
        <w:left w:val="none" w:sz="0" w:space="0" w:color="auto"/>
        <w:bottom w:val="none" w:sz="0" w:space="0" w:color="auto"/>
        <w:right w:val="none" w:sz="0" w:space="0" w:color="auto"/>
      </w:divBdr>
    </w:div>
    <w:div w:id="888228974">
      <w:bodyDiv w:val="1"/>
      <w:marLeft w:val="0"/>
      <w:marRight w:val="0"/>
      <w:marTop w:val="0"/>
      <w:marBottom w:val="0"/>
      <w:divBdr>
        <w:top w:val="none" w:sz="0" w:space="0" w:color="auto"/>
        <w:left w:val="none" w:sz="0" w:space="0" w:color="auto"/>
        <w:bottom w:val="none" w:sz="0" w:space="0" w:color="auto"/>
        <w:right w:val="none" w:sz="0" w:space="0" w:color="auto"/>
      </w:divBdr>
    </w:div>
    <w:div w:id="1077366883">
      <w:bodyDiv w:val="1"/>
      <w:marLeft w:val="0"/>
      <w:marRight w:val="0"/>
      <w:marTop w:val="0"/>
      <w:marBottom w:val="0"/>
      <w:divBdr>
        <w:top w:val="none" w:sz="0" w:space="0" w:color="auto"/>
        <w:left w:val="none" w:sz="0" w:space="0" w:color="auto"/>
        <w:bottom w:val="none" w:sz="0" w:space="0" w:color="auto"/>
        <w:right w:val="none" w:sz="0" w:space="0" w:color="auto"/>
      </w:divBdr>
    </w:div>
    <w:div w:id="1379091585">
      <w:bodyDiv w:val="1"/>
      <w:marLeft w:val="0"/>
      <w:marRight w:val="0"/>
      <w:marTop w:val="0"/>
      <w:marBottom w:val="0"/>
      <w:divBdr>
        <w:top w:val="none" w:sz="0" w:space="0" w:color="auto"/>
        <w:left w:val="none" w:sz="0" w:space="0" w:color="auto"/>
        <w:bottom w:val="none" w:sz="0" w:space="0" w:color="auto"/>
        <w:right w:val="none" w:sz="0" w:space="0" w:color="auto"/>
      </w:divBdr>
    </w:div>
    <w:div w:id="1467040152">
      <w:bodyDiv w:val="1"/>
      <w:marLeft w:val="0"/>
      <w:marRight w:val="0"/>
      <w:marTop w:val="0"/>
      <w:marBottom w:val="0"/>
      <w:divBdr>
        <w:top w:val="none" w:sz="0" w:space="0" w:color="auto"/>
        <w:left w:val="none" w:sz="0" w:space="0" w:color="auto"/>
        <w:bottom w:val="none" w:sz="0" w:space="0" w:color="auto"/>
        <w:right w:val="none" w:sz="0" w:space="0" w:color="auto"/>
      </w:divBdr>
    </w:div>
    <w:div w:id="1490364281">
      <w:bodyDiv w:val="1"/>
      <w:marLeft w:val="0"/>
      <w:marRight w:val="0"/>
      <w:marTop w:val="0"/>
      <w:marBottom w:val="0"/>
      <w:divBdr>
        <w:top w:val="none" w:sz="0" w:space="0" w:color="auto"/>
        <w:left w:val="none" w:sz="0" w:space="0" w:color="auto"/>
        <w:bottom w:val="none" w:sz="0" w:space="0" w:color="auto"/>
        <w:right w:val="none" w:sz="0" w:space="0" w:color="auto"/>
      </w:divBdr>
    </w:div>
    <w:div w:id="1505511271">
      <w:bodyDiv w:val="1"/>
      <w:marLeft w:val="0"/>
      <w:marRight w:val="0"/>
      <w:marTop w:val="0"/>
      <w:marBottom w:val="0"/>
      <w:divBdr>
        <w:top w:val="none" w:sz="0" w:space="0" w:color="auto"/>
        <w:left w:val="none" w:sz="0" w:space="0" w:color="auto"/>
        <w:bottom w:val="none" w:sz="0" w:space="0" w:color="auto"/>
        <w:right w:val="none" w:sz="0" w:space="0" w:color="auto"/>
      </w:divBdr>
    </w:div>
    <w:div w:id="1699503123">
      <w:bodyDiv w:val="1"/>
      <w:marLeft w:val="0"/>
      <w:marRight w:val="0"/>
      <w:marTop w:val="0"/>
      <w:marBottom w:val="0"/>
      <w:divBdr>
        <w:top w:val="none" w:sz="0" w:space="0" w:color="auto"/>
        <w:left w:val="none" w:sz="0" w:space="0" w:color="auto"/>
        <w:bottom w:val="none" w:sz="0" w:space="0" w:color="auto"/>
        <w:right w:val="none" w:sz="0" w:space="0" w:color="auto"/>
      </w:divBdr>
    </w:div>
    <w:div w:id="1890727306">
      <w:bodyDiv w:val="1"/>
      <w:marLeft w:val="0"/>
      <w:marRight w:val="0"/>
      <w:marTop w:val="0"/>
      <w:marBottom w:val="0"/>
      <w:divBdr>
        <w:top w:val="none" w:sz="0" w:space="0" w:color="auto"/>
        <w:left w:val="none" w:sz="0" w:space="0" w:color="auto"/>
        <w:bottom w:val="none" w:sz="0" w:space="0" w:color="auto"/>
        <w:right w:val="none" w:sz="0" w:space="0" w:color="auto"/>
      </w:divBdr>
    </w:div>
    <w:div w:id="2085636508">
      <w:bodyDiv w:val="1"/>
      <w:marLeft w:val="0"/>
      <w:marRight w:val="0"/>
      <w:marTop w:val="0"/>
      <w:marBottom w:val="0"/>
      <w:divBdr>
        <w:top w:val="none" w:sz="0" w:space="0" w:color="auto"/>
        <w:left w:val="none" w:sz="0" w:space="0" w:color="auto"/>
        <w:bottom w:val="none" w:sz="0" w:space="0" w:color="auto"/>
        <w:right w:val="none" w:sz="0" w:space="0" w:color="auto"/>
      </w:divBdr>
    </w:div>
    <w:div w:id="2087411197">
      <w:bodyDiv w:val="1"/>
      <w:marLeft w:val="0"/>
      <w:marRight w:val="0"/>
      <w:marTop w:val="0"/>
      <w:marBottom w:val="0"/>
      <w:divBdr>
        <w:top w:val="none" w:sz="0" w:space="0" w:color="auto"/>
        <w:left w:val="none" w:sz="0" w:space="0" w:color="auto"/>
        <w:bottom w:val="none" w:sz="0" w:space="0" w:color="auto"/>
        <w:right w:val="none" w:sz="0" w:space="0" w:color="auto"/>
      </w:divBdr>
    </w:div>
    <w:div w:id="2095472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uments-dds-ny.un.org/doc/UNDOC/GEN/G19/108/78/PDF/G1910878.pdf?OpenElement" TargetMode="External"/><Relationship Id="rId13" Type="http://schemas.openxmlformats.org/officeDocument/2006/relationships/hyperlink" Target="https://tbinternet.ohchr.org/_layouts/15/treatybodyexternal/Download.aspx?symbolno=CERD/C/SVK/CO/11-12&amp;Lang=En" TargetMode="External"/><Relationship Id="rId18" Type="http://schemas.openxmlformats.org/officeDocument/2006/relationships/hyperlink" Target="https://spcommreports.ohchr.org/TMResultsBase/DownLoadPublicCommunicationFile?gId=23690" TargetMode="External"/><Relationship Id="rId26" Type="http://schemas.openxmlformats.org/officeDocument/2006/relationships/hyperlink" Target="https://tbinternet.ohchr.org/_layouts/15/treatybodyexternal/Download.aspx?symbolno=CERD/C/SVK/CO/11-12&amp;Lang=En" TargetMode="External"/><Relationship Id="rId3" Type="http://schemas.openxmlformats.org/officeDocument/2006/relationships/styles" Target="styles.xml"/><Relationship Id="rId21" Type="http://schemas.openxmlformats.org/officeDocument/2006/relationships/hyperlink" Target="https://documents-dds-ny.un.org/doc/UNDOC/GEN/G19/159/37/PDF/G1915937.pdf?OpenElement" TargetMode="External"/><Relationship Id="rId7" Type="http://schemas.openxmlformats.org/officeDocument/2006/relationships/endnotes" Target="endnotes.xml"/><Relationship Id="rId12" Type="http://schemas.openxmlformats.org/officeDocument/2006/relationships/hyperlink" Target="https://tbinternet.ohchr.org/_layouts/15/treatybodyexternal/Download.aspx?symbolno=E/C.12/SVK/CO/3&amp;Lang=En" TargetMode="External"/><Relationship Id="rId17" Type="http://schemas.openxmlformats.org/officeDocument/2006/relationships/hyperlink" Target="https://documents-dds-ny.un.org/doc/UNDOC/GEN/G19/159/37/PDF/G1915937.pdf?OpenElement" TargetMode="External"/><Relationship Id="rId25" Type="http://schemas.openxmlformats.org/officeDocument/2006/relationships/hyperlink" Target="https://documents-dds-ny.un.org/doc/UNDOC/GEN/G19/159/37/PDF/G1915937.pdf?OpenElement" TargetMode="External"/><Relationship Id="rId2" Type="http://schemas.openxmlformats.org/officeDocument/2006/relationships/numbering" Target="numbering.xml"/><Relationship Id="rId16" Type="http://schemas.openxmlformats.org/officeDocument/2006/relationships/hyperlink" Target="https://tbinternet.ohchr.org/_layouts/15/treatybodyexternal/Download.aspx?symbolno=E/C.12/SVK/CO/3&amp;Lang=En" TargetMode="External"/><Relationship Id="rId20" Type="http://schemas.openxmlformats.org/officeDocument/2006/relationships/hyperlink" Target="https://www.ohchr.org/EN/NewsEvents/Pages/DisplayNews.aspx?NewsID=22753&amp;LangID=E" TargetMode="External"/><Relationship Id="rId29" Type="http://schemas.openxmlformats.org/officeDocument/2006/relationships/hyperlink" Target="https://tbinternet.ohchr.org/_layouts/15/treatybodyexternal/Download.aspx?symbolno=CED/C/SVK/CO/1&amp;Lang=E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binternet.ohchr.org/_layouts/15/treatybodyexternal/Download.aspx?symbolno=CED/C/SVK/CO/1&amp;Lang=En" TargetMode="External"/><Relationship Id="rId24" Type="http://schemas.openxmlformats.org/officeDocument/2006/relationships/hyperlink" Target="https://tbinternet.ohchr.org/_layouts/15/treatybodyexternal/Download.aspx?symbolno=E/C.12/SVK/CO/3&amp;Lang=E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tbinternet.ohchr.org/_layouts/15/treatybodyexternal/Download.aspx?symbolno=CERD/C/SVK/CO/11-12&amp;Lang=En" TargetMode="External"/><Relationship Id="rId23" Type="http://schemas.openxmlformats.org/officeDocument/2006/relationships/hyperlink" Target="https://tbinternet.ohchr.org/_layouts/15/treatybodyexternal/Download.aspx?symbolno=CED/C/SVK/CO/1&amp;Lang=En" TargetMode="External"/><Relationship Id="rId28" Type="http://schemas.openxmlformats.org/officeDocument/2006/relationships/hyperlink" Target="https://tbinternet.ohchr.org/_layouts/15/treatybodyexternal/Download.aspx?symbolno=E/C.12/SVK/CO/3&amp;Lang=En" TargetMode="External"/><Relationship Id="rId10" Type="http://schemas.openxmlformats.org/officeDocument/2006/relationships/hyperlink" Target="https://tbinternet.ohchr.org/_layouts/15/treatybodyexternal/Download.aspx?symbolno=CED/C/SVK/CO/1&amp;Lang=En" TargetMode="External"/><Relationship Id="rId19" Type="http://schemas.openxmlformats.org/officeDocument/2006/relationships/hyperlink" Target="https://spcommreports.ohchr.org/Tmsearch/TMDocuments"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binternet.ohchr.org/_layouts/15/treatybodyexternal/Download.aspx?symbolno=E/C.12/SVK/CO/3&amp;Lang=En" TargetMode="External"/><Relationship Id="rId14" Type="http://schemas.openxmlformats.org/officeDocument/2006/relationships/hyperlink" Target="https://documents-dds-ny.un.org/doc/UNDOC/GEN/G19/108/78/PDF/G1910878.pdf?OpenElement" TargetMode="External"/><Relationship Id="rId22" Type="http://schemas.openxmlformats.org/officeDocument/2006/relationships/hyperlink" Target="https://tbinternet.ohchr.org/_layouts/15/treatybodyexternal/Download.aspx?symbolno=CERD/C/SVK/CO/11-12&amp;Lang=En" TargetMode="External"/><Relationship Id="rId27" Type="http://schemas.openxmlformats.org/officeDocument/2006/relationships/hyperlink" Target="https://tbinternet.ohchr.org/_layouts/15/treatybodyexternal/Download.aspx?symbolno=CERD/C/SVK/CO/11-12&amp;Lang=En" TargetMode="External"/><Relationship Id="rId30"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F36C0-1424-4F25-A895-7EB0C4755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3488</Words>
  <Characters>19886</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dc:creator>
  <cp:keywords/>
  <dc:description/>
  <cp:lastModifiedBy>Edyta</cp:lastModifiedBy>
  <cp:revision>2</cp:revision>
  <dcterms:created xsi:type="dcterms:W3CDTF">2021-03-05T07:01:00Z</dcterms:created>
  <dcterms:modified xsi:type="dcterms:W3CDTF">2021-03-05T07:01:00Z</dcterms:modified>
</cp:coreProperties>
</file>